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ES" w:eastAsia="en-US"/>
        </w:rPr>
        <w:id w:val="2093429116"/>
        <w:docPartObj>
          <w:docPartGallery w:val="Cover Pages"/>
          <w:docPartUnique/>
        </w:docPartObj>
      </w:sdtPr>
      <w:sdtEndPr>
        <w:rPr>
          <w:rFonts w:asciiTheme="minorHAnsi" w:eastAsia="Times New Roman" w:hAnsiTheme="minorHAnsi" w:cstheme="minorHAnsi"/>
          <w:b/>
          <w:color w:val="000000" w:themeColor="text1"/>
          <w:sz w:val="28"/>
          <w:szCs w:val="28"/>
        </w:rPr>
      </w:sdtEndPr>
      <w:sdtContent>
        <w:p w14:paraId="4E0E64B7" w14:textId="029B0AB9" w:rsidR="006F5FFD" w:rsidRDefault="006F5FFD">
          <w:pPr>
            <w:pStyle w:val="Sinespaciado"/>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25566F9" wp14:editId="215C1FA6">
                    <wp:simplePos x="0" y="0"/>
                    <wp:positionH relativeFrom="page">
                      <wp:align>center</wp:align>
                    </wp:positionH>
                    <wp:positionV relativeFrom="page">
                      <wp:align>bottom</wp:align>
                    </wp:positionV>
                    <wp:extent cx="8161020" cy="817880"/>
                    <wp:effectExtent l="0" t="0" r="0" b="508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E1Eg7SwCAABEBAAADgAAAAAAAAAAAAAAAAAuAgAAZHJzL2Uy&#10;b0RvYy54bWxQSwECLQAUAAYACAAAACEA19N9PtsAAAAGAQAADwAAAAAAAAAAAAAAAACGBAAAZHJz&#10;L2Rvd25yZXYueG1sUEsFBgAAAAAEAAQA8wAAAI4FAAAAAA==&#10;" o:allowincell="f" fillcolor="#5b9bd5 [3208]" strokecolor="#4472c4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636D7D4" wp14:editId="6102DD85">
                    <wp:simplePos x="0" y="0"/>
                    <wp:positionH relativeFrom="leftMargin">
                      <wp:align>center</wp:align>
                    </wp:positionH>
                    <wp:positionV relativeFrom="page">
                      <wp:align>center</wp:align>
                    </wp:positionV>
                    <wp:extent cx="90805" cy="10556240"/>
                    <wp:effectExtent l="0" t="0" r="4445" b="508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472c4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5F91AAC" wp14:editId="00810CC8">
                    <wp:simplePos x="0" y="0"/>
                    <wp:positionH relativeFrom="rightMargin">
                      <wp:align>center</wp:align>
                    </wp:positionH>
                    <wp:positionV relativeFrom="page">
                      <wp:align>center</wp:align>
                    </wp:positionV>
                    <wp:extent cx="90805" cy="10556240"/>
                    <wp:effectExtent l="0" t="0" r="4445" b="508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472c4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1D41564" wp14:editId="70459B22">
                    <wp:simplePos x="0" y="0"/>
                    <wp:positionH relativeFrom="page">
                      <wp:align>center</wp:align>
                    </wp:positionH>
                    <wp:positionV relativeFrom="topMargin">
                      <wp:align>top</wp:align>
                    </wp:positionV>
                    <wp:extent cx="8161020" cy="822960"/>
                    <wp:effectExtent l="0" t="0" r="0" b="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" o:allowincell="f" fillcolor="#5b9bd5 [3208]" strokecolor="#4472c4 [3204]">
                    <w10:wrap anchorx="page" anchory="margin"/>
                  </v:rect>
                </w:pict>
              </mc:Fallback>
            </mc:AlternateContent>
          </w: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14:paraId="193A9DC5" w14:textId="3C1E461E" w:rsidR="006F5FFD" w:rsidRDefault="006F5FFD">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Informe Alternativo sobre la situación de las personas con discapacidad en Argentina</w:t>
              </w:r>
            </w:p>
          </w:sdtContent>
        </w:sdt>
        <w:sdt>
          <w:sdtPr>
            <w:rPr>
              <w:rFonts w:ascii="Calibri" w:eastAsia="Times New Roman" w:hAnsi="Calibri" w:cs="Calibri"/>
              <w:b/>
              <w:color w:val="000000" w:themeColor="text1"/>
              <w:sz w:val="28"/>
              <w:szCs w:val="28"/>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14:paraId="78C34782" w14:textId="3229E9BD" w:rsidR="006F5FFD" w:rsidRDefault="006F5FFD" w:rsidP="006F5FFD">
              <w:pPr>
                <w:pStyle w:val="Sinespaciado"/>
                <w:rPr>
                  <w:rFonts w:asciiTheme="majorHAnsi" w:eastAsiaTheme="majorEastAsia" w:hAnsiTheme="majorHAnsi" w:cstheme="majorBidi"/>
                  <w:sz w:val="36"/>
                  <w:szCs w:val="36"/>
                </w:rPr>
              </w:pPr>
              <w:r>
                <w:rPr>
                  <w:rFonts w:ascii="Calibri" w:eastAsia="Times New Roman" w:hAnsi="Calibri" w:cs="Calibri"/>
                  <w:b/>
                  <w:color w:val="000000" w:themeColor="text1"/>
                  <w:sz w:val="28"/>
                  <w:szCs w:val="28"/>
                </w:rPr>
                <w:t>28° Período de sesiones del Comité sobre los Derechos de las Personas con Discapacidad</w:t>
              </w:r>
              <w:r w:rsidR="004B23B3">
                <w:rPr>
                  <w:rFonts w:ascii="Calibri" w:eastAsia="Times New Roman" w:hAnsi="Calibri" w:cs="Calibri"/>
                  <w:b/>
                  <w:color w:val="000000" w:themeColor="text1"/>
                  <w:sz w:val="28"/>
                  <w:szCs w:val="28"/>
                </w:rPr>
                <w:t xml:space="preserve"> – marzo 2023</w:t>
              </w:r>
            </w:p>
          </w:sdtContent>
        </w:sdt>
        <w:p w14:paraId="769B4839" w14:textId="77777777" w:rsidR="006F5FFD" w:rsidRDefault="006F5FFD">
          <w:pPr>
            <w:pStyle w:val="Sinespaciado"/>
            <w:rPr>
              <w:rFonts w:asciiTheme="majorHAnsi" w:eastAsiaTheme="majorEastAsia" w:hAnsiTheme="majorHAnsi" w:cstheme="majorBidi"/>
              <w:sz w:val="36"/>
              <w:szCs w:val="36"/>
            </w:rPr>
          </w:pPr>
        </w:p>
        <w:p w14:paraId="3E2EB89B" w14:textId="77777777" w:rsidR="006F5FFD" w:rsidRDefault="006F5FFD">
          <w:pPr>
            <w:pStyle w:val="Sinespaciado"/>
            <w:rPr>
              <w:rFonts w:asciiTheme="majorHAnsi" w:eastAsiaTheme="majorEastAsia" w:hAnsiTheme="majorHAnsi" w:cstheme="majorBidi"/>
              <w:sz w:val="36"/>
              <w:szCs w:val="36"/>
            </w:rPr>
          </w:pPr>
        </w:p>
        <w:sdt>
          <w:sdtPr>
            <w:rPr>
              <w:b/>
              <w:sz w:val="28"/>
              <w:szCs w:val="28"/>
            </w:rPr>
            <w:alias w:val="Fecha"/>
            <w:id w:val="14700083"/>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14:paraId="216CDC91" w14:textId="144B9DE1" w:rsidR="006F5FFD" w:rsidRPr="004B23B3" w:rsidRDefault="004B23B3">
              <w:pPr>
                <w:pStyle w:val="Sinespaciado"/>
                <w:rPr>
                  <w:b/>
                  <w:sz w:val="28"/>
                  <w:szCs w:val="28"/>
                </w:rPr>
              </w:pPr>
              <w:r w:rsidRPr="004B23B3">
                <w:rPr>
                  <w:b/>
                  <w:sz w:val="28"/>
                  <w:szCs w:val="28"/>
                </w:rPr>
                <w:t xml:space="preserve">Evaluación sobre Argentina del período </w:t>
              </w:r>
              <w:r w:rsidR="006F5FFD" w:rsidRPr="004B23B3">
                <w:rPr>
                  <w:b/>
                  <w:sz w:val="28"/>
                  <w:szCs w:val="28"/>
                </w:rPr>
                <w:t>2018-202</w:t>
              </w:r>
              <w:r w:rsidR="00F97DB6">
                <w:rPr>
                  <w:b/>
                  <w:sz w:val="28"/>
                  <w:szCs w:val="28"/>
                </w:rPr>
                <w:t>3</w:t>
              </w:r>
            </w:p>
          </w:sdtContent>
        </w:sdt>
        <w:p w14:paraId="53D5FB73" w14:textId="6410FAF5" w:rsidR="006F5FFD" w:rsidRDefault="006F5FFD" w:rsidP="006F5FFD">
          <w:pPr>
            <w:pStyle w:val="Sinespaciado"/>
          </w:pPr>
        </w:p>
        <w:p w14:paraId="531C5E2B" w14:textId="77777777" w:rsidR="006F5FFD" w:rsidRPr="004B23B3" w:rsidRDefault="006F5FFD">
          <w:pPr>
            <w:rPr>
              <w:lang w:val="es-AR"/>
            </w:rPr>
          </w:pPr>
        </w:p>
        <w:p w14:paraId="56533CC5" w14:textId="361C9C0A" w:rsidR="006F5FFD" w:rsidRDefault="006F5FFD">
          <w:pPr>
            <w:rPr>
              <w:rFonts w:eastAsia="Times New Roman" w:cstheme="minorHAnsi"/>
              <w:b/>
              <w:color w:val="000000" w:themeColor="text1"/>
              <w:sz w:val="28"/>
              <w:szCs w:val="28"/>
              <w:lang w:val="es-AR"/>
            </w:rPr>
          </w:pPr>
          <w:r>
            <w:rPr>
              <w:rFonts w:eastAsia="Times New Roman" w:cstheme="minorHAnsi"/>
              <w:b/>
              <w:color w:val="000000" w:themeColor="text1"/>
              <w:sz w:val="28"/>
              <w:szCs w:val="28"/>
              <w:lang w:val="es-AR"/>
            </w:rPr>
            <w:br w:type="page"/>
          </w:r>
        </w:p>
      </w:sdtContent>
    </w:sdt>
    <w:p w14:paraId="1EA22912" w14:textId="77777777" w:rsidR="00C16A47" w:rsidRDefault="00C16A47" w:rsidP="00762BF9">
      <w:pPr>
        <w:spacing w:after="240" w:line="276" w:lineRule="auto"/>
        <w:jc w:val="center"/>
        <w:rPr>
          <w:rFonts w:eastAsia="Times New Roman" w:cstheme="minorHAnsi"/>
          <w:b/>
          <w:color w:val="000000" w:themeColor="text1"/>
          <w:sz w:val="28"/>
          <w:szCs w:val="28"/>
          <w:lang w:val="es-AR"/>
        </w:rPr>
      </w:pPr>
    </w:p>
    <w:p w14:paraId="524F458E" w14:textId="77777777" w:rsidR="00C16A47" w:rsidRDefault="00C16A47" w:rsidP="00762BF9">
      <w:pPr>
        <w:spacing w:after="240" w:line="276" w:lineRule="auto"/>
        <w:jc w:val="center"/>
        <w:rPr>
          <w:rFonts w:eastAsia="Times New Roman" w:cstheme="minorHAnsi"/>
          <w:b/>
          <w:color w:val="000000" w:themeColor="text1"/>
          <w:sz w:val="28"/>
          <w:szCs w:val="28"/>
          <w:lang w:val="es-AR"/>
        </w:rPr>
      </w:pPr>
    </w:p>
    <w:p w14:paraId="462C3951" w14:textId="77777777" w:rsidR="00C16A47" w:rsidRDefault="00C16A47" w:rsidP="00762BF9">
      <w:pPr>
        <w:spacing w:after="240" w:line="276" w:lineRule="auto"/>
        <w:jc w:val="center"/>
        <w:rPr>
          <w:rFonts w:eastAsia="Times New Roman" w:cstheme="minorHAnsi"/>
          <w:b/>
          <w:color w:val="000000" w:themeColor="text1"/>
          <w:sz w:val="28"/>
          <w:szCs w:val="28"/>
          <w:lang w:val="es-AR"/>
        </w:rPr>
      </w:pPr>
    </w:p>
    <w:p w14:paraId="299FC560" w14:textId="77777777" w:rsidR="00C16A47" w:rsidRDefault="00C16A47" w:rsidP="00762BF9">
      <w:pPr>
        <w:spacing w:after="240" w:line="276" w:lineRule="auto"/>
        <w:jc w:val="center"/>
        <w:rPr>
          <w:rFonts w:eastAsia="Times New Roman" w:cstheme="minorHAnsi"/>
          <w:b/>
          <w:color w:val="000000" w:themeColor="text1"/>
          <w:sz w:val="28"/>
          <w:szCs w:val="28"/>
          <w:lang w:val="es-AR"/>
        </w:rPr>
      </w:pPr>
    </w:p>
    <w:p w14:paraId="060DEDD2" w14:textId="390AC4C9" w:rsidR="003C491C" w:rsidRPr="006F5FFD" w:rsidRDefault="003C491C" w:rsidP="006F5FFD">
      <w:pPr>
        <w:spacing w:after="240" w:line="276" w:lineRule="auto"/>
        <w:jc w:val="center"/>
        <w:rPr>
          <w:rFonts w:eastAsia="Times New Roman" w:cstheme="minorHAnsi"/>
          <w:b/>
          <w:color w:val="000000" w:themeColor="text1"/>
          <w:sz w:val="28"/>
          <w:szCs w:val="28"/>
          <w:lang w:val="es-AR"/>
        </w:rPr>
      </w:pPr>
      <w:r>
        <w:rPr>
          <w:rFonts w:ascii="Times New Roman" w:hAnsi="Times New Roman" w:cs="Times New Roman"/>
          <w:b/>
          <w:bCs/>
          <w:color w:val="000000"/>
          <w:lang w:val="es-AR"/>
        </w:rPr>
        <w:t>PRESENTADO DE MANERA CONJUNTA POR:</w:t>
      </w:r>
    </w:p>
    <w:p w14:paraId="5F69321B" w14:textId="77777777" w:rsidR="003C491C" w:rsidRDefault="003C491C" w:rsidP="003C491C">
      <w:pPr>
        <w:spacing w:after="100" w:afterAutospacing="1" w:line="240" w:lineRule="auto"/>
        <w:jc w:val="center"/>
        <w:rPr>
          <w:rFonts w:ascii="Times New Roman" w:hAnsi="Times New Roman" w:cs="Times New Roman"/>
          <w:b/>
          <w:bCs/>
          <w:color w:val="000000"/>
          <w:lang w:val="es-AR"/>
        </w:rPr>
      </w:pPr>
    </w:p>
    <w:p w14:paraId="61B42513" w14:textId="77777777" w:rsidR="003C491C" w:rsidRPr="00690D25" w:rsidRDefault="003C491C" w:rsidP="003C491C">
      <w:pPr>
        <w:numPr>
          <w:ilvl w:val="0"/>
          <w:numId w:val="41"/>
        </w:numPr>
        <w:spacing w:after="100" w:afterAutospacing="1" w:line="240" w:lineRule="auto"/>
        <w:jc w:val="both"/>
        <w:rPr>
          <w:rFonts w:ascii="Times New Roman" w:hAnsi="Times New Roman" w:cs="Times New Roman"/>
          <w:lang w:val="es-AR"/>
        </w:rPr>
      </w:pPr>
      <w:r w:rsidRPr="00690D25">
        <w:rPr>
          <w:rFonts w:ascii="Times New Roman" w:hAnsi="Times New Roman" w:cs="Times New Roman"/>
          <w:lang w:val="es-AR"/>
        </w:rPr>
        <w:t>Asamblea Permanente por los Derechos Humanos (APDH)</w:t>
      </w:r>
    </w:p>
    <w:p w14:paraId="56FF3FFD" w14:textId="77777777" w:rsidR="003C491C" w:rsidRPr="00690D25" w:rsidRDefault="003C491C" w:rsidP="003C491C">
      <w:pPr>
        <w:numPr>
          <w:ilvl w:val="0"/>
          <w:numId w:val="41"/>
        </w:numPr>
        <w:spacing w:after="100" w:afterAutospacing="1" w:line="240" w:lineRule="auto"/>
        <w:jc w:val="both"/>
        <w:rPr>
          <w:rFonts w:ascii="Times New Roman" w:hAnsi="Times New Roman" w:cs="Times New Roman"/>
          <w:lang w:val="es-AR"/>
        </w:rPr>
      </w:pPr>
      <w:r w:rsidRPr="00690D25">
        <w:rPr>
          <w:rFonts w:ascii="Times New Roman" w:hAnsi="Times New Roman" w:cs="Times New Roman"/>
          <w:lang w:val="es-AR"/>
        </w:rPr>
        <w:t>Asamblea de Usuarios/as de Salud Mental por Nuestros Derechos de Rosario</w:t>
      </w:r>
    </w:p>
    <w:p w14:paraId="4315BC1B" w14:textId="6CDBCDB8" w:rsidR="001D5AA7" w:rsidRDefault="001D5AA7"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Asociación Andar. Buenos Aires</w:t>
      </w:r>
    </w:p>
    <w:p w14:paraId="1946B0F1" w14:textId="53906977" w:rsidR="003C491C" w:rsidRPr="00690D25" w:rsidRDefault="003C491C" w:rsidP="003C491C">
      <w:pPr>
        <w:numPr>
          <w:ilvl w:val="0"/>
          <w:numId w:val="41"/>
        </w:numPr>
        <w:spacing w:after="100" w:afterAutospacing="1" w:line="240" w:lineRule="auto"/>
        <w:jc w:val="both"/>
        <w:rPr>
          <w:rFonts w:ascii="Times New Roman" w:hAnsi="Times New Roman" w:cs="Times New Roman"/>
          <w:lang w:val="es-AR"/>
        </w:rPr>
      </w:pPr>
      <w:r w:rsidRPr="00690D25">
        <w:rPr>
          <w:rFonts w:ascii="Times New Roman" w:hAnsi="Times New Roman" w:cs="Times New Roman"/>
          <w:lang w:val="es-AR"/>
        </w:rPr>
        <w:t>Asociación Azul</w:t>
      </w:r>
      <w:r w:rsidR="00DE055F">
        <w:rPr>
          <w:rFonts w:ascii="Times New Roman" w:hAnsi="Times New Roman" w:cs="Times New Roman"/>
          <w:lang w:val="es-AR"/>
        </w:rPr>
        <w:t>. Buenos Aires</w:t>
      </w:r>
    </w:p>
    <w:p w14:paraId="47FED3D5" w14:textId="77777777" w:rsidR="003C491C" w:rsidRPr="00690D25" w:rsidRDefault="003C491C" w:rsidP="003C491C">
      <w:pPr>
        <w:numPr>
          <w:ilvl w:val="0"/>
          <w:numId w:val="41"/>
        </w:numPr>
        <w:spacing w:after="100" w:afterAutospacing="1" w:line="240" w:lineRule="auto"/>
        <w:jc w:val="both"/>
        <w:rPr>
          <w:rFonts w:ascii="Times New Roman" w:hAnsi="Times New Roman" w:cs="Times New Roman"/>
          <w:lang w:val="es-AR"/>
        </w:rPr>
      </w:pPr>
      <w:r w:rsidRPr="00690D25">
        <w:rPr>
          <w:rFonts w:ascii="Times New Roman" w:hAnsi="Times New Roman" w:cs="Times New Roman"/>
          <w:lang w:val="es-AR"/>
        </w:rPr>
        <w:t>Asociación Civil por la Igualdad y la Justicia (ACIJ)</w:t>
      </w:r>
    </w:p>
    <w:p w14:paraId="16117AC2" w14:textId="45E093BC" w:rsidR="003C491C" w:rsidRDefault="003C491C" w:rsidP="003C491C">
      <w:pPr>
        <w:numPr>
          <w:ilvl w:val="0"/>
          <w:numId w:val="41"/>
        </w:numPr>
        <w:spacing w:after="100" w:afterAutospacing="1" w:line="240" w:lineRule="auto"/>
        <w:jc w:val="both"/>
        <w:rPr>
          <w:rFonts w:ascii="Times New Roman" w:hAnsi="Times New Roman" w:cs="Times New Roman"/>
          <w:lang w:val="es-AR"/>
        </w:rPr>
      </w:pPr>
      <w:r w:rsidRPr="00690D25">
        <w:rPr>
          <w:rFonts w:ascii="Times New Roman" w:hAnsi="Times New Roman" w:cs="Times New Roman"/>
          <w:lang w:val="es-AR"/>
        </w:rPr>
        <w:t xml:space="preserve">Asociación </w:t>
      </w:r>
      <w:r>
        <w:rPr>
          <w:rFonts w:ascii="Times New Roman" w:hAnsi="Times New Roman" w:cs="Times New Roman"/>
          <w:lang w:val="es-AR"/>
        </w:rPr>
        <w:t>Colibrí</w:t>
      </w:r>
      <w:r w:rsidR="00DE055F">
        <w:rPr>
          <w:rFonts w:ascii="Times New Roman" w:hAnsi="Times New Roman" w:cs="Times New Roman"/>
          <w:lang w:val="es-AR"/>
        </w:rPr>
        <w:t>. Salta</w:t>
      </w:r>
    </w:p>
    <w:p w14:paraId="379F18ED" w14:textId="77777777" w:rsidR="003C491C" w:rsidRPr="00C8073E" w:rsidRDefault="003C491C" w:rsidP="003C491C">
      <w:pPr>
        <w:numPr>
          <w:ilvl w:val="0"/>
          <w:numId w:val="41"/>
        </w:numPr>
        <w:spacing w:after="100" w:afterAutospacing="1" w:line="240" w:lineRule="auto"/>
        <w:jc w:val="both"/>
        <w:rPr>
          <w:rFonts w:ascii="Times New Roman" w:hAnsi="Times New Roman" w:cs="Times New Roman"/>
          <w:lang w:val="es-AR"/>
        </w:rPr>
      </w:pPr>
      <w:r w:rsidRPr="00C8073E">
        <w:rPr>
          <w:rFonts w:ascii="Times New Roman" w:hAnsi="Times New Roman" w:cs="Times New Roman"/>
          <w:lang w:val="es-AR"/>
        </w:rPr>
        <w:t>Asociación Jujeña de ayuda a Personas con Esquizofrenia y Familia (AJUPEF)</w:t>
      </w:r>
    </w:p>
    <w:p w14:paraId="6D8C1BA1" w14:textId="136FCFB7" w:rsidR="003C491C" w:rsidRPr="00C8073E" w:rsidRDefault="003C491C" w:rsidP="003C491C">
      <w:pPr>
        <w:numPr>
          <w:ilvl w:val="0"/>
          <w:numId w:val="41"/>
        </w:numPr>
        <w:spacing w:after="100" w:afterAutospacing="1" w:line="240" w:lineRule="auto"/>
        <w:jc w:val="both"/>
        <w:rPr>
          <w:rFonts w:ascii="Times New Roman" w:hAnsi="Times New Roman" w:cs="Times New Roman"/>
          <w:lang w:val="es-AR"/>
        </w:rPr>
      </w:pPr>
      <w:r w:rsidRPr="00C8073E">
        <w:rPr>
          <w:rFonts w:ascii="Times New Roman" w:hAnsi="Times New Roman" w:cs="Times New Roman"/>
          <w:lang w:val="es-AR"/>
        </w:rPr>
        <w:t>Asociación de Padres de Personas con síndrome de Down</w:t>
      </w:r>
      <w:r w:rsidR="00DE055F">
        <w:rPr>
          <w:rFonts w:ascii="Times New Roman" w:hAnsi="Times New Roman" w:cs="Times New Roman"/>
          <w:lang w:val="es-AR"/>
        </w:rPr>
        <w:t>. Villa Mercedes. San Luis</w:t>
      </w:r>
      <w:r w:rsidRPr="00C8073E">
        <w:rPr>
          <w:rFonts w:ascii="Times New Roman" w:hAnsi="Times New Roman" w:cs="Times New Roman"/>
          <w:lang w:val="es-AR"/>
        </w:rPr>
        <w:t xml:space="preserve"> (APPSIDO)</w:t>
      </w:r>
    </w:p>
    <w:p w14:paraId="0FFB6601" w14:textId="3BB2A1AC" w:rsidR="003C491C" w:rsidRPr="00DE055F" w:rsidRDefault="003C491C" w:rsidP="00DE055F">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Centro de Estudios Legales y Sociales (CELS)</w:t>
      </w:r>
    </w:p>
    <w:p w14:paraId="328E91E5" w14:textId="35C78A69" w:rsidR="001D5AA7" w:rsidRDefault="001D5AA7"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Comisión de Inclusión de las Personas con Discapacidad. Universidad Nacional de Salta</w:t>
      </w:r>
    </w:p>
    <w:p w14:paraId="07716C81" w14:textId="3C5EA92C" w:rsidR="00B76673" w:rsidRDefault="00B76673"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Comisión Universitaria sobre Discapacidad (CUD). Universidad Nacional de La Plata</w:t>
      </w:r>
    </w:p>
    <w:p w14:paraId="3B57C35B" w14:textId="6D68D9EF" w:rsidR="00714423" w:rsidRDefault="00714423"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Despejarte.com. Villa Mercedes. San Luis</w:t>
      </w:r>
    </w:p>
    <w:p w14:paraId="3A84F8B3" w14:textId="77777777" w:rsidR="003C491C" w:rsidRDefault="003C491C"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Federación Argentina de Colegios de Abogados (FACA)</w:t>
      </w:r>
    </w:p>
    <w:p w14:paraId="14F6D50C" w14:textId="5C57F357" w:rsidR="00DE055F" w:rsidRDefault="00DE055F"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Federación Argentina de Instituciones de Ciegos y Ambliopes (FAICA)</w:t>
      </w:r>
    </w:p>
    <w:p w14:paraId="476FEEAD" w14:textId="3CD3D0CB" w:rsidR="001D5AA7" w:rsidRDefault="001D5AA7"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Federación de Talleres Protegidos de Buenos Aires</w:t>
      </w:r>
      <w:r w:rsidR="008E0757">
        <w:rPr>
          <w:rFonts w:ascii="Times New Roman" w:hAnsi="Times New Roman" w:cs="Times New Roman"/>
          <w:lang w:val="es-AR"/>
        </w:rPr>
        <w:t xml:space="preserve"> (FETAP)</w:t>
      </w:r>
    </w:p>
    <w:p w14:paraId="1A45B7AE" w14:textId="541A45AE" w:rsidR="003C491C" w:rsidRDefault="003C491C"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Fundación Rumbos</w:t>
      </w:r>
      <w:r w:rsidR="00B76673">
        <w:rPr>
          <w:rFonts w:ascii="Times New Roman" w:hAnsi="Times New Roman" w:cs="Times New Roman"/>
          <w:lang w:val="es-AR"/>
        </w:rPr>
        <w:t>. CABA</w:t>
      </w:r>
    </w:p>
    <w:p w14:paraId="168CD16E" w14:textId="41E04740" w:rsidR="00B76673" w:rsidRDefault="00B76673"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Fundación Tomar Acción. Salta</w:t>
      </w:r>
    </w:p>
    <w:p w14:paraId="22475A95" w14:textId="6C8C655C" w:rsidR="00DE055F" w:rsidRDefault="00DE055F"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Instituto de Derecho de la Discapacidad. Colegio de Abogados de Mar del Plata</w:t>
      </w:r>
    </w:p>
    <w:p w14:paraId="7FA46114" w14:textId="77777777" w:rsidR="003C491C" w:rsidRDefault="003C491C"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Instituto Especializado en Derecho de Personas con Discapacidad del Colegio de Abogados de Rosario</w:t>
      </w:r>
    </w:p>
    <w:p w14:paraId="602D386C" w14:textId="77777777" w:rsidR="003C491C" w:rsidRPr="001344C5" w:rsidRDefault="003C491C" w:rsidP="003C491C">
      <w:pPr>
        <w:numPr>
          <w:ilvl w:val="0"/>
          <w:numId w:val="41"/>
        </w:numPr>
        <w:spacing w:after="100" w:afterAutospacing="1" w:line="240" w:lineRule="auto"/>
        <w:jc w:val="both"/>
        <w:rPr>
          <w:rFonts w:ascii="Times New Roman" w:hAnsi="Times New Roman" w:cs="Times New Roman"/>
          <w:lang w:val="es-AR"/>
        </w:rPr>
      </w:pPr>
      <w:r w:rsidRPr="001344C5">
        <w:rPr>
          <w:rFonts w:ascii="Times New Roman" w:hAnsi="Times New Roman" w:cs="Times New Roman"/>
          <w:lang w:val="es-AR"/>
        </w:rPr>
        <w:t>Mesa intersectorial de Discapacidad y Derechos Humanos de Córdoba</w:t>
      </w:r>
    </w:p>
    <w:p w14:paraId="41DA6053" w14:textId="77777777" w:rsidR="003C491C" w:rsidRPr="001344C5" w:rsidRDefault="003C491C" w:rsidP="003C491C">
      <w:pPr>
        <w:numPr>
          <w:ilvl w:val="0"/>
          <w:numId w:val="41"/>
        </w:numPr>
        <w:spacing w:after="100" w:afterAutospacing="1" w:line="240" w:lineRule="auto"/>
        <w:jc w:val="both"/>
        <w:rPr>
          <w:rFonts w:ascii="Times New Roman" w:hAnsi="Times New Roman" w:cs="Times New Roman"/>
          <w:lang w:val="es-AR"/>
        </w:rPr>
      </w:pPr>
      <w:r w:rsidRPr="001344C5">
        <w:rPr>
          <w:rFonts w:ascii="Times New Roman" w:hAnsi="Times New Roman" w:cs="Times New Roman"/>
          <w:lang w:val="es-AR"/>
        </w:rPr>
        <w:t>Observatorio de Salud Mental y Derechos Humanos de Córdoba</w:t>
      </w:r>
    </w:p>
    <w:p w14:paraId="05F726EE" w14:textId="57D92703" w:rsidR="001344C5" w:rsidRPr="001344C5" w:rsidRDefault="001344C5" w:rsidP="003C491C">
      <w:pPr>
        <w:numPr>
          <w:ilvl w:val="0"/>
          <w:numId w:val="41"/>
        </w:numPr>
        <w:spacing w:after="100" w:afterAutospacing="1" w:line="240" w:lineRule="auto"/>
        <w:jc w:val="both"/>
        <w:rPr>
          <w:rFonts w:ascii="Times New Roman" w:hAnsi="Times New Roman" w:cs="Times New Roman"/>
          <w:lang w:val="es-AR"/>
        </w:rPr>
      </w:pPr>
      <w:r w:rsidRPr="001344C5">
        <w:rPr>
          <w:rFonts w:ascii="Times New Roman" w:hAnsi="Times New Roman" w:cs="Times New Roman"/>
          <w:color w:val="222222"/>
          <w:shd w:val="clear" w:color="auto" w:fill="FFFFFF"/>
        </w:rPr>
        <w:t xml:space="preserve">Proyecto de Investigación (PPI 2020-2023) La persistencia de la categoría "discapacidad" en la lógica de la colonial/modernidad. Un aporte desde la perspectiva del feminismo </w:t>
      </w:r>
      <w:proofErr w:type="spellStart"/>
      <w:r w:rsidRPr="001344C5">
        <w:rPr>
          <w:rFonts w:ascii="Times New Roman" w:hAnsi="Times New Roman" w:cs="Times New Roman"/>
          <w:color w:val="222222"/>
          <w:shd w:val="clear" w:color="auto" w:fill="FFFFFF"/>
        </w:rPr>
        <w:t>descolonial</w:t>
      </w:r>
      <w:proofErr w:type="spellEnd"/>
      <w:r w:rsidRPr="001344C5">
        <w:rPr>
          <w:rFonts w:ascii="Times New Roman" w:hAnsi="Times New Roman" w:cs="Times New Roman"/>
          <w:color w:val="222222"/>
          <w:shd w:val="clear" w:color="auto" w:fill="FFFFFF"/>
        </w:rPr>
        <w:t>- Universidad Nacional de Río Cuarto</w:t>
      </w:r>
      <w:r>
        <w:rPr>
          <w:rFonts w:ascii="Times New Roman" w:hAnsi="Times New Roman" w:cs="Times New Roman"/>
          <w:color w:val="222222"/>
          <w:shd w:val="clear" w:color="auto" w:fill="FFFFFF"/>
        </w:rPr>
        <w:t>.</w:t>
      </w:r>
      <w:r w:rsidR="00F01227">
        <w:rPr>
          <w:rFonts w:ascii="Times New Roman" w:hAnsi="Times New Roman" w:cs="Times New Roman"/>
          <w:color w:val="222222"/>
          <w:shd w:val="clear" w:color="auto" w:fill="FFFFFF"/>
        </w:rPr>
        <w:t xml:space="preserve"> Córdoba</w:t>
      </w:r>
    </w:p>
    <w:p w14:paraId="71AE28DD" w14:textId="72B48520" w:rsidR="003C491C" w:rsidRDefault="003C491C" w:rsidP="003C491C">
      <w:pPr>
        <w:numPr>
          <w:ilvl w:val="0"/>
          <w:numId w:val="41"/>
        </w:numPr>
        <w:spacing w:after="100" w:afterAutospacing="1" w:line="240" w:lineRule="auto"/>
        <w:jc w:val="both"/>
        <w:rPr>
          <w:rFonts w:ascii="Times New Roman" w:hAnsi="Times New Roman" w:cs="Times New Roman"/>
          <w:lang w:val="es-AR"/>
        </w:rPr>
      </w:pPr>
      <w:r w:rsidRPr="001344C5">
        <w:rPr>
          <w:rFonts w:ascii="Times New Roman" w:hAnsi="Times New Roman" w:cs="Times New Roman"/>
          <w:lang w:val="es-AR"/>
        </w:rPr>
        <w:t>Programa de D</w:t>
      </w:r>
      <w:r w:rsidR="00DE055F">
        <w:rPr>
          <w:rFonts w:ascii="Times New Roman" w:hAnsi="Times New Roman" w:cs="Times New Roman"/>
          <w:lang w:val="es-AR"/>
        </w:rPr>
        <w:t>iscapacidad y Derechos Humanos. Faculta de Derecho.</w:t>
      </w:r>
      <w:r w:rsidRPr="001344C5">
        <w:rPr>
          <w:rFonts w:ascii="Times New Roman" w:hAnsi="Times New Roman" w:cs="Times New Roman"/>
          <w:lang w:val="es-AR"/>
        </w:rPr>
        <w:t xml:space="preserve"> Universidad Nacional de Rosario</w:t>
      </w:r>
    </w:p>
    <w:p w14:paraId="19A7B4BF" w14:textId="6CD03450" w:rsidR="00DE055F" w:rsidRPr="001344C5" w:rsidRDefault="00DE055F"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Programa La producción social de la Discapacidad. Facultad de Trabajo Social. Universidad Nacional de Entre Ríos</w:t>
      </w:r>
    </w:p>
    <w:p w14:paraId="4162A8E3" w14:textId="77777777" w:rsidR="003C491C" w:rsidRDefault="003C491C"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Red por los Derechos de las Personas con Discapacidad (REDI)</w:t>
      </w:r>
    </w:p>
    <w:p w14:paraId="28A06D29" w14:textId="249FD1FB" w:rsidR="00DE055F" w:rsidRDefault="00DE055F" w:rsidP="003C491C">
      <w:pPr>
        <w:numPr>
          <w:ilvl w:val="0"/>
          <w:numId w:val="41"/>
        </w:numPr>
        <w:spacing w:after="100" w:afterAutospacing="1" w:line="240" w:lineRule="auto"/>
        <w:jc w:val="both"/>
        <w:rPr>
          <w:rFonts w:ascii="Times New Roman" w:hAnsi="Times New Roman" w:cs="Times New Roman"/>
          <w:lang w:val="es-AR"/>
        </w:rPr>
      </w:pPr>
      <w:r>
        <w:rPr>
          <w:rFonts w:ascii="Times New Roman" w:hAnsi="Times New Roman" w:cs="Times New Roman"/>
          <w:lang w:val="es-AR"/>
        </w:rPr>
        <w:t>Seminario Activismos, intervención e investigación social en discapacidad. Facultad de Ciencias Sociales. Universidad Nacional de Córdoba</w:t>
      </w:r>
    </w:p>
    <w:p w14:paraId="4ADE36CF" w14:textId="77777777" w:rsidR="003C491C" w:rsidRDefault="003C491C">
      <w:pPr>
        <w:rPr>
          <w:rFonts w:ascii="Times New Roman" w:hAnsi="Times New Roman" w:cs="Times New Roman"/>
          <w:lang w:val="es-AR"/>
        </w:rPr>
      </w:pPr>
      <w:r>
        <w:rPr>
          <w:rFonts w:ascii="Times New Roman" w:hAnsi="Times New Roman" w:cs="Times New Roman"/>
          <w:lang w:val="es-AR"/>
        </w:rPr>
        <w:br w:type="page"/>
      </w:r>
    </w:p>
    <w:p w14:paraId="18BCC39C" w14:textId="1799BF3F" w:rsidR="00A74A91" w:rsidRDefault="00A74A91" w:rsidP="00762BF9">
      <w:pPr>
        <w:spacing w:after="240" w:line="276" w:lineRule="auto"/>
        <w:jc w:val="both"/>
        <w:rPr>
          <w:rFonts w:eastAsiaTheme="minorEastAsia" w:cstheme="minorHAnsi"/>
          <w:lang w:val="es-AR" w:eastAsia="es-AR"/>
        </w:rPr>
      </w:pPr>
      <w:r w:rsidRPr="00A74A91">
        <w:rPr>
          <w:rFonts w:eastAsiaTheme="minorEastAsia" w:cstheme="minorHAnsi"/>
          <w:b/>
          <w:u w:val="single"/>
          <w:lang w:val="es-AR" w:eastAsia="es-AR"/>
        </w:rPr>
        <w:lastRenderedPageBreak/>
        <w:t xml:space="preserve">Coordinación: </w:t>
      </w:r>
      <w:r>
        <w:rPr>
          <w:rFonts w:eastAsiaTheme="minorEastAsia" w:cstheme="minorHAnsi"/>
          <w:lang w:val="es-AR" w:eastAsia="es-AR"/>
        </w:rPr>
        <w:t>REDI</w:t>
      </w:r>
    </w:p>
    <w:p w14:paraId="3952EBF9" w14:textId="0F6109AC" w:rsidR="00454D5A" w:rsidRDefault="00A74A91" w:rsidP="00762BF9">
      <w:pPr>
        <w:spacing w:after="240" w:line="276" w:lineRule="auto"/>
        <w:jc w:val="both"/>
        <w:rPr>
          <w:rFonts w:eastAsiaTheme="minorEastAsia" w:cstheme="minorHAnsi"/>
          <w:lang w:val="es-AR" w:eastAsia="es-AR"/>
        </w:rPr>
      </w:pPr>
      <w:r w:rsidRPr="00A74A91">
        <w:rPr>
          <w:rFonts w:eastAsiaTheme="minorEastAsia" w:cstheme="minorHAnsi"/>
          <w:b/>
          <w:u w:val="single"/>
          <w:lang w:val="es-AR" w:eastAsia="es-AR"/>
        </w:rPr>
        <w:t xml:space="preserve">Responsable de compilación, edición del material y redacción: </w:t>
      </w:r>
      <w:r>
        <w:rPr>
          <w:rFonts w:eastAsiaTheme="minorEastAsia" w:cstheme="minorHAnsi"/>
          <w:lang w:val="es-AR" w:eastAsia="es-AR"/>
        </w:rPr>
        <w:t>Sofía Novillo Funes</w:t>
      </w:r>
    </w:p>
    <w:p w14:paraId="03FB2F53" w14:textId="77777777" w:rsidR="00C16A47" w:rsidRDefault="00C16A47" w:rsidP="00762BF9">
      <w:pPr>
        <w:spacing w:after="240" w:line="276" w:lineRule="auto"/>
        <w:jc w:val="both"/>
        <w:rPr>
          <w:rFonts w:eastAsiaTheme="minorEastAsia" w:cstheme="minorHAnsi"/>
          <w:lang w:val="es-AR" w:eastAsia="es-AR"/>
        </w:rPr>
      </w:pPr>
    </w:p>
    <w:sdt>
      <w:sdtPr>
        <w:rPr>
          <w:rFonts w:asciiTheme="minorHAnsi" w:eastAsiaTheme="minorHAnsi" w:hAnsiTheme="minorHAnsi" w:cstheme="minorHAnsi"/>
          <w:b/>
          <w:bCs/>
          <w:color w:val="auto"/>
          <w:sz w:val="24"/>
          <w:szCs w:val="24"/>
          <w:lang w:val="es-ES" w:eastAsia="en-US"/>
        </w:rPr>
        <w:id w:val="-1676569106"/>
        <w:docPartObj>
          <w:docPartGallery w:val="Table of Contents"/>
          <w:docPartUnique/>
        </w:docPartObj>
      </w:sdtPr>
      <w:sdtEndPr>
        <w:rPr>
          <w:rFonts w:cstheme="minorBidi"/>
          <w:sz w:val="22"/>
          <w:szCs w:val="22"/>
        </w:rPr>
      </w:sdtEndPr>
      <w:sdtContent>
        <w:p w14:paraId="2770D03C" w14:textId="15026630" w:rsidR="00075BB7" w:rsidRPr="00075BB7" w:rsidRDefault="00075BB7" w:rsidP="00762BF9">
          <w:pPr>
            <w:pStyle w:val="TtulodeTDC"/>
            <w:spacing w:before="0" w:line="276" w:lineRule="auto"/>
            <w:rPr>
              <w:rFonts w:asciiTheme="minorHAnsi" w:hAnsiTheme="minorHAnsi" w:cstheme="minorHAnsi"/>
              <w:b/>
              <w:bCs/>
              <w:color w:val="auto"/>
              <w:sz w:val="24"/>
              <w:szCs w:val="24"/>
            </w:rPr>
          </w:pPr>
          <w:r w:rsidRPr="00075BB7">
            <w:rPr>
              <w:rFonts w:asciiTheme="minorHAnsi" w:hAnsiTheme="minorHAnsi" w:cstheme="minorHAnsi"/>
              <w:b/>
              <w:bCs/>
              <w:color w:val="auto"/>
              <w:sz w:val="24"/>
              <w:szCs w:val="24"/>
            </w:rPr>
            <w:t>ÍNDICE</w:t>
          </w:r>
        </w:p>
        <w:p w14:paraId="24CE1505" w14:textId="72818D7D" w:rsidR="0022029E" w:rsidRDefault="00075BB7" w:rsidP="00762BF9">
          <w:pPr>
            <w:pStyle w:val="TDC1"/>
            <w:tabs>
              <w:tab w:val="left" w:pos="440"/>
              <w:tab w:val="right" w:leader="dot" w:pos="9736"/>
            </w:tabs>
            <w:spacing w:line="276" w:lineRule="auto"/>
            <w:rPr>
              <w:rFonts w:asciiTheme="minorHAnsi" w:eastAsiaTheme="minorEastAsia" w:hAnsiTheme="minorHAnsi" w:cstheme="minorBidi"/>
              <w:b w:val="0"/>
              <w:bCs w:val="0"/>
              <w:caps w:val="0"/>
              <w:noProof/>
              <w:sz w:val="22"/>
              <w:szCs w:val="22"/>
              <w:lang w:val="en-GB" w:eastAsia="en-GB"/>
            </w:rPr>
          </w:pPr>
          <w:r w:rsidRPr="00075BB7">
            <w:fldChar w:fldCharType="begin"/>
          </w:r>
          <w:r w:rsidRPr="00075BB7">
            <w:instrText xml:space="preserve"> TOC \o "1-3" \h \z \u </w:instrText>
          </w:r>
          <w:r w:rsidRPr="00075BB7">
            <w:fldChar w:fldCharType="separate"/>
          </w:r>
          <w:hyperlink w:anchor="_Toc124881430" w:history="1">
            <w:r w:rsidR="0022029E" w:rsidRPr="00EF7142">
              <w:rPr>
                <w:rStyle w:val="Hipervnculo"/>
                <w:rFonts w:cstheme="minorHAnsi"/>
                <w:noProof/>
                <w:lang w:val="es-AR" w:eastAsia="es-AR"/>
              </w:rPr>
              <w:t>I.</w:t>
            </w:r>
            <w:r w:rsidR="0022029E">
              <w:rPr>
                <w:rFonts w:asciiTheme="minorHAnsi" w:eastAsiaTheme="minorEastAsia" w:hAnsiTheme="minorHAnsi" w:cstheme="minorBidi"/>
                <w:b w:val="0"/>
                <w:bCs w:val="0"/>
                <w:caps w:val="0"/>
                <w:noProof/>
                <w:sz w:val="22"/>
                <w:szCs w:val="22"/>
                <w:lang w:val="en-GB" w:eastAsia="en-GB"/>
              </w:rPr>
              <w:tab/>
            </w:r>
            <w:r w:rsidR="0022029E" w:rsidRPr="00EF7142">
              <w:rPr>
                <w:rStyle w:val="Hipervnculo"/>
                <w:rFonts w:cstheme="minorHAnsi"/>
                <w:noProof/>
                <w:lang w:val="es-AR" w:eastAsia="es-AR"/>
              </w:rPr>
              <w:t>Resumen Ejecutivo</w:t>
            </w:r>
            <w:r w:rsidR="0022029E">
              <w:rPr>
                <w:noProof/>
                <w:webHidden/>
              </w:rPr>
              <w:tab/>
            </w:r>
            <w:r w:rsidR="0022029E">
              <w:rPr>
                <w:noProof/>
                <w:webHidden/>
              </w:rPr>
              <w:fldChar w:fldCharType="begin"/>
            </w:r>
            <w:r w:rsidR="0022029E">
              <w:rPr>
                <w:noProof/>
                <w:webHidden/>
              </w:rPr>
              <w:instrText xml:space="preserve"> PAGEREF _Toc124881430 \h </w:instrText>
            </w:r>
            <w:r w:rsidR="0022029E">
              <w:rPr>
                <w:noProof/>
                <w:webHidden/>
              </w:rPr>
            </w:r>
            <w:r w:rsidR="0022029E">
              <w:rPr>
                <w:noProof/>
                <w:webHidden/>
              </w:rPr>
              <w:fldChar w:fldCharType="separate"/>
            </w:r>
            <w:r w:rsidR="00CE1F50">
              <w:rPr>
                <w:noProof/>
                <w:webHidden/>
              </w:rPr>
              <w:t>3</w:t>
            </w:r>
            <w:r w:rsidR="0022029E">
              <w:rPr>
                <w:noProof/>
                <w:webHidden/>
              </w:rPr>
              <w:fldChar w:fldCharType="end"/>
            </w:r>
          </w:hyperlink>
        </w:p>
        <w:p w14:paraId="110930B1" w14:textId="6F425ECC" w:rsidR="0022029E" w:rsidRDefault="005E6206" w:rsidP="00762BF9">
          <w:pPr>
            <w:pStyle w:val="TDC1"/>
            <w:tabs>
              <w:tab w:val="left" w:pos="440"/>
              <w:tab w:val="right" w:leader="dot" w:pos="9736"/>
            </w:tabs>
            <w:spacing w:line="276" w:lineRule="auto"/>
            <w:rPr>
              <w:rFonts w:asciiTheme="minorHAnsi" w:eastAsiaTheme="minorEastAsia" w:hAnsiTheme="minorHAnsi" w:cstheme="minorBidi"/>
              <w:b w:val="0"/>
              <w:bCs w:val="0"/>
              <w:caps w:val="0"/>
              <w:noProof/>
              <w:sz w:val="22"/>
              <w:szCs w:val="22"/>
              <w:lang w:val="en-GB" w:eastAsia="en-GB"/>
            </w:rPr>
          </w:pPr>
          <w:hyperlink w:anchor="_Toc124881431" w:history="1">
            <w:r w:rsidR="0022029E" w:rsidRPr="00EF7142">
              <w:rPr>
                <w:rStyle w:val="Hipervnculo"/>
                <w:rFonts w:eastAsia="Times New Roman" w:cstheme="minorHAnsi"/>
                <w:noProof/>
                <w:lang w:val="es-AR"/>
              </w:rPr>
              <w:t>II.</w:t>
            </w:r>
            <w:r w:rsidR="0022029E">
              <w:rPr>
                <w:rFonts w:asciiTheme="minorHAnsi" w:eastAsiaTheme="minorEastAsia" w:hAnsiTheme="minorHAnsi" w:cstheme="minorBidi"/>
                <w:b w:val="0"/>
                <w:bCs w:val="0"/>
                <w:caps w:val="0"/>
                <w:noProof/>
                <w:sz w:val="22"/>
                <w:szCs w:val="22"/>
                <w:lang w:val="en-GB" w:eastAsia="en-GB"/>
              </w:rPr>
              <w:tab/>
            </w:r>
            <w:r w:rsidR="0022029E" w:rsidRPr="00EF7142">
              <w:rPr>
                <w:rStyle w:val="Hipervnculo"/>
                <w:rFonts w:eastAsia="Times New Roman" w:cstheme="minorHAnsi"/>
                <w:noProof/>
                <w:lang w:val="es-AR"/>
              </w:rPr>
              <w:t>Situación de los derechos de las PCD según los artículos de la Convención</w:t>
            </w:r>
            <w:r w:rsidR="0022029E">
              <w:rPr>
                <w:noProof/>
                <w:webHidden/>
              </w:rPr>
              <w:tab/>
            </w:r>
            <w:r w:rsidR="0022029E">
              <w:rPr>
                <w:noProof/>
                <w:webHidden/>
              </w:rPr>
              <w:fldChar w:fldCharType="begin"/>
            </w:r>
            <w:r w:rsidR="0022029E">
              <w:rPr>
                <w:noProof/>
                <w:webHidden/>
              </w:rPr>
              <w:instrText xml:space="preserve"> PAGEREF _Toc124881431 \h </w:instrText>
            </w:r>
            <w:r w:rsidR="0022029E">
              <w:rPr>
                <w:noProof/>
                <w:webHidden/>
              </w:rPr>
            </w:r>
            <w:r w:rsidR="0022029E">
              <w:rPr>
                <w:noProof/>
                <w:webHidden/>
              </w:rPr>
              <w:fldChar w:fldCharType="separate"/>
            </w:r>
            <w:r w:rsidR="00CE1F50">
              <w:rPr>
                <w:noProof/>
                <w:webHidden/>
              </w:rPr>
              <w:t>4</w:t>
            </w:r>
            <w:r w:rsidR="0022029E">
              <w:rPr>
                <w:noProof/>
                <w:webHidden/>
              </w:rPr>
              <w:fldChar w:fldCharType="end"/>
            </w:r>
          </w:hyperlink>
        </w:p>
        <w:p w14:paraId="289DC1E8" w14:textId="13C8701E" w:rsidR="0022029E" w:rsidRDefault="005E6206" w:rsidP="00762BF9">
          <w:pPr>
            <w:pStyle w:val="TDC2"/>
            <w:spacing w:line="276" w:lineRule="auto"/>
            <w:rPr>
              <w:rFonts w:eastAsiaTheme="minorEastAsia" w:cstheme="minorBidi"/>
              <w:sz w:val="22"/>
              <w:szCs w:val="22"/>
              <w:lang w:val="en-GB" w:eastAsia="en-GB"/>
            </w:rPr>
          </w:pPr>
          <w:hyperlink w:anchor="_Toc124881432" w:history="1">
            <w:r w:rsidR="0022029E" w:rsidRPr="00EF7142">
              <w:rPr>
                <w:rStyle w:val="Hipervnculo"/>
                <w:rFonts w:cstheme="minorHAnsi"/>
                <w:b/>
                <w:bCs/>
              </w:rPr>
              <w:t>Artículo 4 - Obligaciones generales</w:t>
            </w:r>
            <w:r w:rsidR="0022029E">
              <w:rPr>
                <w:webHidden/>
              </w:rPr>
              <w:tab/>
            </w:r>
            <w:r w:rsidR="0022029E">
              <w:rPr>
                <w:webHidden/>
              </w:rPr>
              <w:fldChar w:fldCharType="begin"/>
            </w:r>
            <w:r w:rsidR="0022029E">
              <w:rPr>
                <w:webHidden/>
              </w:rPr>
              <w:instrText xml:space="preserve"> PAGEREF _Toc124881432 \h </w:instrText>
            </w:r>
            <w:r w:rsidR="0022029E">
              <w:rPr>
                <w:webHidden/>
              </w:rPr>
            </w:r>
            <w:r w:rsidR="0022029E">
              <w:rPr>
                <w:webHidden/>
              </w:rPr>
              <w:fldChar w:fldCharType="separate"/>
            </w:r>
            <w:r w:rsidR="00CE1F50">
              <w:rPr>
                <w:webHidden/>
              </w:rPr>
              <w:t>4</w:t>
            </w:r>
            <w:r w:rsidR="0022029E">
              <w:rPr>
                <w:webHidden/>
              </w:rPr>
              <w:fldChar w:fldCharType="end"/>
            </w:r>
          </w:hyperlink>
        </w:p>
        <w:p w14:paraId="47249F52" w14:textId="1E74DFCF" w:rsidR="0022029E" w:rsidRDefault="005E6206" w:rsidP="00762BF9">
          <w:pPr>
            <w:pStyle w:val="TDC2"/>
            <w:spacing w:line="276" w:lineRule="auto"/>
            <w:rPr>
              <w:rFonts w:eastAsiaTheme="minorEastAsia" w:cstheme="minorBidi"/>
              <w:sz w:val="22"/>
              <w:szCs w:val="22"/>
              <w:lang w:val="en-GB" w:eastAsia="en-GB"/>
            </w:rPr>
          </w:pPr>
          <w:hyperlink w:anchor="_Toc124881433" w:history="1">
            <w:r w:rsidR="0022029E" w:rsidRPr="00EF7142">
              <w:rPr>
                <w:rStyle w:val="Hipervnculo"/>
                <w:rFonts w:cstheme="minorHAnsi"/>
                <w:b/>
                <w:bCs/>
              </w:rPr>
              <w:t>Artículo 5: Igualdad y No Discriminación</w:t>
            </w:r>
            <w:r w:rsidR="0022029E">
              <w:rPr>
                <w:webHidden/>
              </w:rPr>
              <w:tab/>
            </w:r>
            <w:r w:rsidR="0022029E">
              <w:rPr>
                <w:webHidden/>
              </w:rPr>
              <w:fldChar w:fldCharType="begin"/>
            </w:r>
            <w:r w:rsidR="0022029E">
              <w:rPr>
                <w:webHidden/>
              </w:rPr>
              <w:instrText xml:space="preserve"> PAGEREF _Toc124881433 \h </w:instrText>
            </w:r>
            <w:r w:rsidR="0022029E">
              <w:rPr>
                <w:webHidden/>
              </w:rPr>
            </w:r>
            <w:r w:rsidR="0022029E">
              <w:rPr>
                <w:webHidden/>
              </w:rPr>
              <w:fldChar w:fldCharType="separate"/>
            </w:r>
            <w:r w:rsidR="00CE1F50">
              <w:rPr>
                <w:webHidden/>
              </w:rPr>
              <w:t>6</w:t>
            </w:r>
            <w:r w:rsidR="0022029E">
              <w:rPr>
                <w:webHidden/>
              </w:rPr>
              <w:fldChar w:fldCharType="end"/>
            </w:r>
          </w:hyperlink>
        </w:p>
        <w:p w14:paraId="6300F5E9" w14:textId="12909F7C" w:rsidR="0022029E" w:rsidRDefault="005E6206" w:rsidP="00762BF9">
          <w:pPr>
            <w:pStyle w:val="TDC2"/>
            <w:spacing w:line="276" w:lineRule="auto"/>
            <w:rPr>
              <w:rFonts w:eastAsiaTheme="minorEastAsia" w:cstheme="minorBidi"/>
              <w:sz w:val="22"/>
              <w:szCs w:val="22"/>
              <w:lang w:val="en-GB" w:eastAsia="en-GB"/>
            </w:rPr>
          </w:pPr>
          <w:hyperlink w:anchor="_Toc124881434" w:history="1">
            <w:r w:rsidR="0022029E" w:rsidRPr="00EF7142">
              <w:rPr>
                <w:rStyle w:val="Hipervnculo"/>
                <w:rFonts w:cstheme="minorHAnsi"/>
                <w:b/>
                <w:bCs/>
              </w:rPr>
              <w:t>Artículo 6: Mujeres con discapacidad</w:t>
            </w:r>
            <w:r w:rsidR="0022029E">
              <w:rPr>
                <w:webHidden/>
              </w:rPr>
              <w:tab/>
            </w:r>
            <w:r w:rsidR="0022029E">
              <w:rPr>
                <w:webHidden/>
              </w:rPr>
              <w:fldChar w:fldCharType="begin"/>
            </w:r>
            <w:r w:rsidR="0022029E">
              <w:rPr>
                <w:webHidden/>
              </w:rPr>
              <w:instrText xml:space="preserve"> PAGEREF _Toc124881434 \h </w:instrText>
            </w:r>
            <w:r w:rsidR="0022029E">
              <w:rPr>
                <w:webHidden/>
              </w:rPr>
            </w:r>
            <w:r w:rsidR="0022029E">
              <w:rPr>
                <w:webHidden/>
              </w:rPr>
              <w:fldChar w:fldCharType="separate"/>
            </w:r>
            <w:r w:rsidR="00CE1F50">
              <w:rPr>
                <w:webHidden/>
              </w:rPr>
              <w:t>7</w:t>
            </w:r>
            <w:r w:rsidR="0022029E">
              <w:rPr>
                <w:webHidden/>
              </w:rPr>
              <w:fldChar w:fldCharType="end"/>
            </w:r>
          </w:hyperlink>
        </w:p>
        <w:p w14:paraId="36E6E5C7" w14:textId="481BD3DE" w:rsidR="0022029E" w:rsidRDefault="005E6206" w:rsidP="00762BF9">
          <w:pPr>
            <w:pStyle w:val="TDC2"/>
            <w:spacing w:line="276" w:lineRule="auto"/>
            <w:rPr>
              <w:rFonts w:eastAsiaTheme="minorEastAsia" w:cstheme="minorBidi"/>
              <w:sz w:val="22"/>
              <w:szCs w:val="22"/>
              <w:lang w:val="en-GB" w:eastAsia="en-GB"/>
            </w:rPr>
          </w:pPr>
          <w:hyperlink w:anchor="_Toc124881435" w:history="1">
            <w:r w:rsidR="0022029E" w:rsidRPr="00EF7142">
              <w:rPr>
                <w:rStyle w:val="Hipervnculo"/>
                <w:rFonts w:cstheme="minorHAnsi"/>
                <w:b/>
                <w:bCs/>
              </w:rPr>
              <w:t>Artículo 7: Niños, Niñas y Adolescentes</w:t>
            </w:r>
            <w:r w:rsidR="0022029E">
              <w:rPr>
                <w:webHidden/>
              </w:rPr>
              <w:tab/>
            </w:r>
            <w:r w:rsidR="0022029E">
              <w:rPr>
                <w:webHidden/>
              </w:rPr>
              <w:fldChar w:fldCharType="begin"/>
            </w:r>
            <w:r w:rsidR="0022029E">
              <w:rPr>
                <w:webHidden/>
              </w:rPr>
              <w:instrText xml:space="preserve"> PAGEREF _Toc124881435 \h </w:instrText>
            </w:r>
            <w:r w:rsidR="0022029E">
              <w:rPr>
                <w:webHidden/>
              </w:rPr>
            </w:r>
            <w:r w:rsidR="0022029E">
              <w:rPr>
                <w:webHidden/>
              </w:rPr>
              <w:fldChar w:fldCharType="separate"/>
            </w:r>
            <w:r w:rsidR="00CE1F50">
              <w:rPr>
                <w:webHidden/>
              </w:rPr>
              <w:t>8</w:t>
            </w:r>
            <w:r w:rsidR="0022029E">
              <w:rPr>
                <w:webHidden/>
              </w:rPr>
              <w:fldChar w:fldCharType="end"/>
            </w:r>
          </w:hyperlink>
        </w:p>
        <w:p w14:paraId="5309DFFA" w14:textId="5A5547F5" w:rsidR="0022029E" w:rsidRDefault="005E6206" w:rsidP="00762BF9">
          <w:pPr>
            <w:pStyle w:val="TDC2"/>
            <w:spacing w:line="276" w:lineRule="auto"/>
            <w:rPr>
              <w:rFonts w:eastAsiaTheme="minorEastAsia" w:cstheme="minorBidi"/>
              <w:sz w:val="22"/>
              <w:szCs w:val="22"/>
              <w:lang w:val="en-GB" w:eastAsia="en-GB"/>
            </w:rPr>
          </w:pPr>
          <w:hyperlink w:anchor="_Toc124881436" w:history="1">
            <w:r w:rsidR="0022029E" w:rsidRPr="00EF7142">
              <w:rPr>
                <w:rStyle w:val="Hipervnculo"/>
                <w:rFonts w:cstheme="minorHAnsi"/>
                <w:b/>
                <w:bCs/>
              </w:rPr>
              <w:t>Artículo 9: Accesibilidad</w:t>
            </w:r>
            <w:r w:rsidR="0022029E">
              <w:rPr>
                <w:webHidden/>
              </w:rPr>
              <w:tab/>
            </w:r>
            <w:r w:rsidR="0022029E">
              <w:rPr>
                <w:webHidden/>
              </w:rPr>
              <w:fldChar w:fldCharType="begin"/>
            </w:r>
            <w:r w:rsidR="0022029E">
              <w:rPr>
                <w:webHidden/>
              </w:rPr>
              <w:instrText xml:space="preserve"> PAGEREF _Toc124881436 \h </w:instrText>
            </w:r>
            <w:r w:rsidR="0022029E">
              <w:rPr>
                <w:webHidden/>
              </w:rPr>
            </w:r>
            <w:r w:rsidR="0022029E">
              <w:rPr>
                <w:webHidden/>
              </w:rPr>
              <w:fldChar w:fldCharType="separate"/>
            </w:r>
            <w:r w:rsidR="00CE1F50">
              <w:rPr>
                <w:webHidden/>
              </w:rPr>
              <w:t>8</w:t>
            </w:r>
            <w:r w:rsidR="0022029E">
              <w:rPr>
                <w:webHidden/>
              </w:rPr>
              <w:fldChar w:fldCharType="end"/>
            </w:r>
          </w:hyperlink>
        </w:p>
        <w:p w14:paraId="3CE26E1C" w14:textId="100A0C73" w:rsidR="0022029E" w:rsidRDefault="005E6206" w:rsidP="00762BF9">
          <w:pPr>
            <w:pStyle w:val="TDC3"/>
            <w:tabs>
              <w:tab w:val="right" w:leader="dot" w:pos="9736"/>
            </w:tabs>
            <w:spacing w:line="276" w:lineRule="auto"/>
            <w:rPr>
              <w:rFonts w:eastAsiaTheme="minorEastAsia" w:cstheme="minorBidi"/>
              <w:noProof/>
              <w:sz w:val="22"/>
              <w:szCs w:val="22"/>
              <w:lang w:val="en-GB" w:eastAsia="en-GB"/>
            </w:rPr>
          </w:pPr>
          <w:hyperlink w:anchor="_Toc124881437" w:history="1">
            <w:r w:rsidR="0022029E" w:rsidRPr="00EF7142">
              <w:rPr>
                <w:rStyle w:val="Hipervnculo"/>
                <w:rFonts w:cstheme="minorHAnsi"/>
                <w:b/>
                <w:bCs/>
                <w:noProof/>
                <w:lang w:val="es-AR"/>
              </w:rPr>
              <w:t>Accesibilidad web</w:t>
            </w:r>
            <w:r w:rsidR="0022029E">
              <w:rPr>
                <w:noProof/>
                <w:webHidden/>
              </w:rPr>
              <w:tab/>
            </w:r>
            <w:r w:rsidR="0022029E">
              <w:rPr>
                <w:noProof/>
                <w:webHidden/>
              </w:rPr>
              <w:fldChar w:fldCharType="begin"/>
            </w:r>
            <w:r w:rsidR="0022029E">
              <w:rPr>
                <w:noProof/>
                <w:webHidden/>
              </w:rPr>
              <w:instrText xml:space="preserve"> PAGEREF _Toc124881437 \h </w:instrText>
            </w:r>
            <w:r w:rsidR="0022029E">
              <w:rPr>
                <w:noProof/>
                <w:webHidden/>
              </w:rPr>
            </w:r>
            <w:r w:rsidR="0022029E">
              <w:rPr>
                <w:noProof/>
                <w:webHidden/>
              </w:rPr>
              <w:fldChar w:fldCharType="separate"/>
            </w:r>
            <w:r w:rsidR="00CE1F50">
              <w:rPr>
                <w:noProof/>
                <w:webHidden/>
              </w:rPr>
              <w:t>8</w:t>
            </w:r>
            <w:r w:rsidR="0022029E">
              <w:rPr>
                <w:noProof/>
                <w:webHidden/>
              </w:rPr>
              <w:fldChar w:fldCharType="end"/>
            </w:r>
          </w:hyperlink>
        </w:p>
        <w:p w14:paraId="55A6FE6A" w14:textId="231489CC" w:rsidR="0022029E" w:rsidRDefault="005E6206" w:rsidP="00762BF9">
          <w:pPr>
            <w:pStyle w:val="TDC3"/>
            <w:tabs>
              <w:tab w:val="right" w:leader="dot" w:pos="9736"/>
            </w:tabs>
            <w:spacing w:line="276" w:lineRule="auto"/>
            <w:rPr>
              <w:rFonts w:eastAsiaTheme="minorEastAsia" w:cstheme="minorBidi"/>
              <w:noProof/>
              <w:sz w:val="22"/>
              <w:szCs w:val="22"/>
              <w:lang w:val="en-GB" w:eastAsia="en-GB"/>
            </w:rPr>
          </w:pPr>
          <w:hyperlink w:anchor="_Toc124881438" w:history="1">
            <w:r w:rsidR="0022029E" w:rsidRPr="00EF7142">
              <w:rPr>
                <w:rStyle w:val="Hipervnculo"/>
                <w:rFonts w:eastAsia="Calibri" w:cstheme="minorHAnsi"/>
                <w:b/>
                <w:bCs/>
                <w:noProof/>
                <w:lang w:val="es-AR"/>
              </w:rPr>
              <w:t>Accesibilidad peatonal y movilidad</w:t>
            </w:r>
            <w:r w:rsidR="0022029E">
              <w:rPr>
                <w:noProof/>
                <w:webHidden/>
              </w:rPr>
              <w:tab/>
            </w:r>
            <w:r w:rsidR="0022029E">
              <w:rPr>
                <w:noProof/>
                <w:webHidden/>
              </w:rPr>
              <w:fldChar w:fldCharType="begin"/>
            </w:r>
            <w:r w:rsidR="0022029E">
              <w:rPr>
                <w:noProof/>
                <w:webHidden/>
              </w:rPr>
              <w:instrText xml:space="preserve"> PAGEREF _Toc124881438 \h </w:instrText>
            </w:r>
            <w:r w:rsidR="0022029E">
              <w:rPr>
                <w:noProof/>
                <w:webHidden/>
              </w:rPr>
            </w:r>
            <w:r w:rsidR="0022029E">
              <w:rPr>
                <w:noProof/>
                <w:webHidden/>
              </w:rPr>
              <w:fldChar w:fldCharType="separate"/>
            </w:r>
            <w:r w:rsidR="00CE1F50">
              <w:rPr>
                <w:noProof/>
                <w:webHidden/>
              </w:rPr>
              <w:t>9</w:t>
            </w:r>
            <w:r w:rsidR="0022029E">
              <w:rPr>
                <w:noProof/>
                <w:webHidden/>
              </w:rPr>
              <w:fldChar w:fldCharType="end"/>
            </w:r>
          </w:hyperlink>
        </w:p>
        <w:p w14:paraId="027B04F9" w14:textId="29342E6B" w:rsidR="0022029E" w:rsidRDefault="005E6206" w:rsidP="00762BF9">
          <w:pPr>
            <w:pStyle w:val="TDC3"/>
            <w:tabs>
              <w:tab w:val="right" w:leader="dot" w:pos="9736"/>
            </w:tabs>
            <w:spacing w:line="276" w:lineRule="auto"/>
            <w:rPr>
              <w:rFonts w:eastAsiaTheme="minorEastAsia" w:cstheme="minorBidi"/>
              <w:noProof/>
              <w:sz w:val="22"/>
              <w:szCs w:val="22"/>
              <w:lang w:val="en-GB" w:eastAsia="en-GB"/>
            </w:rPr>
          </w:pPr>
          <w:hyperlink w:anchor="_Toc124881439" w:history="1">
            <w:r w:rsidR="0022029E" w:rsidRPr="00EF7142">
              <w:rPr>
                <w:rStyle w:val="Hipervnculo"/>
                <w:rFonts w:cstheme="minorHAnsi"/>
                <w:b/>
                <w:bCs/>
                <w:noProof/>
                <w:lang w:val="es-AR"/>
              </w:rPr>
              <w:t>Accesibilidad edilicia</w:t>
            </w:r>
            <w:r w:rsidR="0022029E">
              <w:rPr>
                <w:noProof/>
                <w:webHidden/>
              </w:rPr>
              <w:tab/>
            </w:r>
            <w:r w:rsidR="0022029E">
              <w:rPr>
                <w:noProof/>
                <w:webHidden/>
              </w:rPr>
              <w:fldChar w:fldCharType="begin"/>
            </w:r>
            <w:r w:rsidR="0022029E">
              <w:rPr>
                <w:noProof/>
                <w:webHidden/>
              </w:rPr>
              <w:instrText xml:space="preserve"> PAGEREF _Toc124881439 \h </w:instrText>
            </w:r>
            <w:r w:rsidR="0022029E">
              <w:rPr>
                <w:noProof/>
                <w:webHidden/>
              </w:rPr>
            </w:r>
            <w:r w:rsidR="0022029E">
              <w:rPr>
                <w:noProof/>
                <w:webHidden/>
              </w:rPr>
              <w:fldChar w:fldCharType="separate"/>
            </w:r>
            <w:r w:rsidR="00CE1F50">
              <w:rPr>
                <w:noProof/>
                <w:webHidden/>
              </w:rPr>
              <w:t>9</w:t>
            </w:r>
            <w:r w:rsidR="0022029E">
              <w:rPr>
                <w:noProof/>
                <w:webHidden/>
              </w:rPr>
              <w:fldChar w:fldCharType="end"/>
            </w:r>
          </w:hyperlink>
        </w:p>
        <w:p w14:paraId="447A7D7A" w14:textId="158FCF8B" w:rsidR="0022029E" w:rsidRDefault="005E6206" w:rsidP="00762BF9">
          <w:pPr>
            <w:pStyle w:val="TDC2"/>
            <w:spacing w:line="276" w:lineRule="auto"/>
            <w:rPr>
              <w:rFonts w:eastAsiaTheme="minorEastAsia" w:cstheme="minorBidi"/>
              <w:sz w:val="22"/>
              <w:szCs w:val="22"/>
              <w:lang w:val="en-GB" w:eastAsia="en-GB"/>
            </w:rPr>
          </w:pPr>
          <w:hyperlink w:anchor="_Toc124881440" w:history="1">
            <w:r w:rsidR="0022029E" w:rsidRPr="00EF7142">
              <w:rPr>
                <w:rStyle w:val="Hipervnculo"/>
                <w:rFonts w:cstheme="minorHAnsi"/>
                <w:b/>
                <w:bCs/>
              </w:rPr>
              <w:t>Artículo 11: Situaciones de riesgo y derecho a la vida</w:t>
            </w:r>
            <w:r w:rsidR="0022029E">
              <w:rPr>
                <w:webHidden/>
              </w:rPr>
              <w:tab/>
            </w:r>
            <w:r w:rsidR="0022029E">
              <w:rPr>
                <w:webHidden/>
              </w:rPr>
              <w:fldChar w:fldCharType="begin"/>
            </w:r>
            <w:r w:rsidR="0022029E">
              <w:rPr>
                <w:webHidden/>
              </w:rPr>
              <w:instrText xml:space="preserve"> PAGEREF _Toc124881440 \h </w:instrText>
            </w:r>
            <w:r w:rsidR="0022029E">
              <w:rPr>
                <w:webHidden/>
              </w:rPr>
            </w:r>
            <w:r w:rsidR="0022029E">
              <w:rPr>
                <w:webHidden/>
              </w:rPr>
              <w:fldChar w:fldCharType="separate"/>
            </w:r>
            <w:r w:rsidR="00CE1F50">
              <w:rPr>
                <w:webHidden/>
              </w:rPr>
              <w:t>10</w:t>
            </w:r>
            <w:r w:rsidR="0022029E">
              <w:rPr>
                <w:webHidden/>
              </w:rPr>
              <w:fldChar w:fldCharType="end"/>
            </w:r>
          </w:hyperlink>
        </w:p>
        <w:p w14:paraId="2A2C93EE" w14:textId="32729121" w:rsidR="0022029E" w:rsidRDefault="005E6206" w:rsidP="00762BF9">
          <w:pPr>
            <w:pStyle w:val="TDC2"/>
            <w:spacing w:line="276" w:lineRule="auto"/>
            <w:rPr>
              <w:rFonts w:eastAsiaTheme="minorEastAsia" w:cstheme="minorBidi"/>
              <w:sz w:val="22"/>
              <w:szCs w:val="22"/>
              <w:lang w:val="en-GB" w:eastAsia="en-GB"/>
            </w:rPr>
          </w:pPr>
          <w:hyperlink w:anchor="_Toc124881441" w:history="1">
            <w:r w:rsidR="0022029E" w:rsidRPr="00EF7142">
              <w:rPr>
                <w:rStyle w:val="Hipervnculo"/>
                <w:rFonts w:cstheme="minorHAnsi"/>
                <w:b/>
                <w:bCs/>
                <w:lang w:eastAsia="en-GB"/>
              </w:rPr>
              <w:t>Artículo 12: Igual reconocimiento como persona ante la ley</w:t>
            </w:r>
            <w:r w:rsidR="0022029E">
              <w:rPr>
                <w:webHidden/>
              </w:rPr>
              <w:tab/>
            </w:r>
            <w:r w:rsidR="0022029E">
              <w:rPr>
                <w:webHidden/>
              </w:rPr>
              <w:fldChar w:fldCharType="begin"/>
            </w:r>
            <w:r w:rsidR="0022029E">
              <w:rPr>
                <w:webHidden/>
              </w:rPr>
              <w:instrText xml:space="preserve"> PAGEREF _Toc124881441 \h </w:instrText>
            </w:r>
            <w:r w:rsidR="0022029E">
              <w:rPr>
                <w:webHidden/>
              </w:rPr>
            </w:r>
            <w:r w:rsidR="0022029E">
              <w:rPr>
                <w:webHidden/>
              </w:rPr>
              <w:fldChar w:fldCharType="separate"/>
            </w:r>
            <w:r w:rsidR="00CE1F50">
              <w:rPr>
                <w:webHidden/>
              </w:rPr>
              <w:t>11</w:t>
            </w:r>
            <w:r w:rsidR="0022029E">
              <w:rPr>
                <w:webHidden/>
              </w:rPr>
              <w:fldChar w:fldCharType="end"/>
            </w:r>
          </w:hyperlink>
        </w:p>
        <w:p w14:paraId="0B33DD71" w14:textId="259D24EA" w:rsidR="0022029E" w:rsidRDefault="005E6206" w:rsidP="00762BF9">
          <w:pPr>
            <w:pStyle w:val="TDC2"/>
            <w:spacing w:line="276" w:lineRule="auto"/>
            <w:rPr>
              <w:rFonts w:eastAsiaTheme="minorEastAsia" w:cstheme="minorBidi"/>
              <w:sz w:val="22"/>
              <w:szCs w:val="22"/>
              <w:lang w:val="en-GB" w:eastAsia="en-GB"/>
            </w:rPr>
          </w:pPr>
          <w:hyperlink w:anchor="_Toc124881442" w:history="1">
            <w:r w:rsidR="0022029E" w:rsidRPr="00EF7142">
              <w:rPr>
                <w:rStyle w:val="Hipervnculo"/>
                <w:rFonts w:cstheme="minorHAnsi"/>
                <w:b/>
                <w:bCs/>
              </w:rPr>
              <w:t>Artículo 13: Acceso a la justicia</w:t>
            </w:r>
            <w:r w:rsidR="0022029E">
              <w:rPr>
                <w:webHidden/>
              </w:rPr>
              <w:tab/>
            </w:r>
            <w:r w:rsidR="0022029E">
              <w:rPr>
                <w:webHidden/>
              </w:rPr>
              <w:fldChar w:fldCharType="begin"/>
            </w:r>
            <w:r w:rsidR="0022029E">
              <w:rPr>
                <w:webHidden/>
              </w:rPr>
              <w:instrText xml:space="preserve"> PAGEREF _Toc124881442 \h </w:instrText>
            </w:r>
            <w:r w:rsidR="0022029E">
              <w:rPr>
                <w:webHidden/>
              </w:rPr>
            </w:r>
            <w:r w:rsidR="0022029E">
              <w:rPr>
                <w:webHidden/>
              </w:rPr>
              <w:fldChar w:fldCharType="separate"/>
            </w:r>
            <w:r w:rsidR="00CE1F50">
              <w:rPr>
                <w:webHidden/>
              </w:rPr>
              <w:t>12</w:t>
            </w:r>
            <w:r w:rsidR="0022029E">
              <w:rPr>
                <w:webHidden/>
              </w:rPr>
              <w:fldChar w:fldCharType="end"/>
            </w:r>
          </w:hyperlink>
        </w:p>
        <w:p w14:paraId="5FC2F291" w14:textId="756AC30D" w:rsidR="0022029E" w:rsidRDefault="005E6206" w:rsidP="00762BF9">
          <w:pPr>
            <w:pStyle w:val="TDC2"/>
            <w:spacing w:line="276" w:lineRule="auto"/>
            <w:rPr>
              <w:rFonts w:eastAsiaTheme="minorEastAsia" w:cstheme="minorBidi"/>
              <w:sz w:val="22"/>
              <w:szCs w:val="22"/>
              <w:lang w:val="en-GB" w:eastAsia="en-GB"/>
            </w:rPr>
          </w:pPr>
          <w:hyperlink w:anchor="_Toc124881443" w:history="1">
            <w:r w:rsidR="0022029E" w:rsidRPr="00EF7142">
              <w:rPr>
                <w:rStyle w:val="Hipervnculo"/>
                <w:rFonts w:cstheme="minorHAnsi"/>
                <w:b/>
                <w:bCs/>
              </w:rPr>
              <w:t>Artículo 14: Libertad y Seguridad de la Persona</w:t>
            </w:r>
            <w:r w:rsidR="0022029E">
              <w:rPr>
                <w:webHidden/>
              </w:rPr>
              <w:tab/>
            </w:r>
            <w:r w:rsidR="0022029E">
              <w:rPr>
                <w:webHidden/>
              </w:rPr>
              <w:fldChar w:fldCharType="begin"/>
            </w:r>
            <w:r w:rsidR="0022029E">
              <w:rPr>
                <w:webHidden/>
              </w:rPr>
              <w:instrText xml:space="preserve"> PAGEREF _Toc124881443 \h </w:instrText>
            </w:r>
            <w:r w:rsidR="0022029E">
              <w:rPr>
                <w:webHidden/>
              </w:rPr>
            </w:r>
            <w:r w:rsidR="0022029E">
              <w:rPr>
                <w:webHidden/>
              </w:rPr>
              <w:fldChar w:fldCharType="separate"/>
            </w:r>
            <w:r w:rsidR="00CE1F50">
              <w:rPr>
                <w:webHidden/>
              </w:rPr>
              <w:t>13</w:t>
            </w:r>
            <w:r w:rsidR="0022029E">
              <w:rPr>
                <w:webHidden/>
              </w:rPr>
              <w:fldChar w:fldCharType="end"/>
            </w:r>
          </w:hyperlink>
        </w:p>
        <w:p w14:paraId="54E09F8F" w14:textId="15B921BB" w:rsidR="0022029E" w:rsidRDefault="005E6206" w:rsidP="00762BF9">
          <w:pPr>
            <w:pStyle w:val="TDC2"/>
            <w:spacing w:line="276" w:lineRule="auto"/>
            <w:rPr>
              <w:rFonts w:eastAsiaTheme="minorEastAsia" w:cstheme="minorBidi"/>
              <w:sz w:val="22"/>
              <w:szCs w:val="22"/>
              <w:lang w:val="en-GB" w:eastAsia="en-GB"/>
            </w:rPr>
          </w:pPr>
          <w:hyperlink w:anchor="_Toc124881444" w:history="1">
            <w:r w:rsidR="0022029E" w:rsidRPr="00EF7142">
              <w:rPr>
                <w:rStyle w:val="Hipervnculo"/>
                <w:rFonts w:cstheme="minorHAnsi"/>
                <w:b/>
                <w:bCs/>
              </w:rPr>
              <w:t>Artículo 15: Protección contra la tortura y otros tratos o penas crueles, inhumanos o degradantes</w:t>
            </w:r>
            <w:r w:rsidR="0022029E">
              <w:rPr>
                <w:webHidden/>
              </w:rPr>
              <w:tab/>
            </w:r>
            <w:r w:rsidR="0022029E">
              <w:rPr>
                <w:webHidden/>
              </w:rPr>
              <w:fldChar w:fldCharType="begin"/>
            </w:r>
            <w:r w:rsidR="0022029E">
              <w:rPr>
                <w:webHidden/>
              </w:rPr>
              <w:instrText xml:space="preserve"> PAGEREF _Toc124881444 \h </w:instrText>
            </w:r>
            <w:r w:rsidR="0022029E">
              <w:rPr>
                <w:webHidden/>
              </w:rPr>
            </w:r>
            <w:r w:rsidR="0022029E">
              <w:rPr>
                <w:webHidden/>
              </w:rPr>
              <w:fldChar w:fldCharType="separate"/>
            </w:r>
            <w:r w:rsidR="00CE1F50">
              <w:rPr>
                <w:webHidden/>
              </w:rPr>
              <w:t>14</w:t>
            </w:r>
            <w:r w:rsidR="0022029E">
              <w:rPr>
                <w:webHidden/>
              </w:rPr>
              <w:fldChar w:fldCharType="end"/>
            </w:r>
          </w:hyperlink>
        </w:p>
        <w:p w14:paraId="48560698" w14:textId="5B09F1F9" w:rsidR="0022029E" w:rsidRDefault="005E6206" w:rsidP="00762BF9">
          <w:pPr>
            <w:pStyle w:val="TDC2"/>
            <w:spacing w:line="276" w:lineRule="auto"/>
            <w:rPr>
              <w:rFonts w:eastAsiaTheme="minorEastAsia" w:cstheme="minorBidi"/>
              <w:sz w:val="22"/>
              <w:szCs w:val="22"/>
              <w:lang w:val="en-GB" w:eastAsia="en-GB"/>
            </w:rPr>
          </w:pPr>
          <w:hyperlink w:anchor="_Toc124881445" w:history="1">
            <w:r w:rsidR="0022029E" w:rsidRPr="00EF7142">
              <w:rPr>
                <w:rStyle w:val="Hipervnculo"/>
                <w:rFonts w:cstheme="minorHAnsi"/>
                <w:b/>
                <w:bCs/>
              </w:rPr>
              <w:t>Artículo 19: Derecho a vivir de forma independiente y a ser incluido en la comunidad</w:t>
            </w:r>
            <w:r w:rsidR="0022029E">
              <w:rPr>
                <w:webHidden/>
              </w:rPr>
              <w:tab/>
            </w:r>
            <w:r w:rsidR="0022029E">
              <w:rPr>
                <w:webHidden/>
              </w:rPr>
              <w:fldChar w:fldCharType="begin"/>
            </w:r>
            <w:r w:rsidR="0022029E">
              <w:rPr>
                <w:webHidden/>
              </w:rPr>
              <w:instrText xml:space="preserve"> PAGEREF _Toc124881445 \h </w:instrText>
            </w:r>
            <w:r w:rsidR="0022029E">
              <w:rPr>
                <w:webHidden/>
              </w:rPr>
            </w:r>
            <w:r w:rsidR="0022029E">
              <w:rPr>
                <w:webHidden/>
              </w:rPr>
              <w:fldChar w:fldCharType="separate"/>
            </w:r>
            <w:r w:rsidR="00CE1F50">
              <w:rPr>
                <w:webHidden/>
              </w:rPr>
              <w:t>15</w:t>
            </w:r>
            <w:r w:rsidR="0022029E">
              <w:rPr>
                <w:webHidden/>
              </w:rPr>
              <w:fldChar w:fldCharType="end"/>
            </w:r>
          </w:hyperlink>
        </w:p>
        <w:p w14:paraId="2747C04C" w14:textId="278E1BA9" w:rsidR="0022029E" w:rsidRDefault="005E6206" w:rsidP="00762BF9">
          <w:pPr>
            <w:pStyle w:val="TDC2"/>
            <w:spacing w:line="276" w:lineRule="auto"/>
            <w:rPr>
              <w:rFonts w:eastAsiaTheme="minorEastAsia" w:cstheme="minorBidi"/>
              <w:sz w:val="22"/>
              <w:szCs w:val="22"/>
              <w:lang w:val="en-GB" w:eastAsia="en-GB"/>
            </w:rPr>
          </w:pPr>
          <w:hyperlink w:anchor="_Toc124881446" w:history="1">
            <w:r w:rsidR="0022029E" w:rsidRPr="00EF7142">
              <w:rPr>
                <w:rStyle w:val="Hipervnculo"/>
                <w:rFonts w:cstheme="minorHAnsi"/>
                <w:b/>
                <w:bCs/>
              </w:rPr>
              <w:t>Artículo 20: Movilidad Personal</w:t>
            </w:r>
            <w:r w:rsidR="0022029E">
              <w:rPr>
                <w:webHidden/>
              </w:rPr>
              <w:tab/>
            </w:r>
            <w:r w:rsidR="0022029E">
              <w:rPr>
                <w:webHidden/>
              </w:rPr>
              <w:fldChar w:fldCharType="begin"/>
            </w:r>
            <w:r w:rsidR="0022029E">
              <w:rPr>
                <w:webHidden/>
              </w:rPr>
              <w:instrText xml:space="preserve"> PAGEREF _Toc124881446 \h </w:instrText>
            </w:r>
            <w:r w:rsidR="0022029E">
              <w:rPr>
                <w:webHidden/>
              </w:rPr>
            </w:r>
            <w:r w:rsidR="0022029E">
              <w:rPr>
                <w:webHidden/>
              </w:rPr>
              <w:fldChar w:fldCharType="separate"/>
            </w:r>
            <w:r w:rsidR="00CE1F50">
              <w:rPr>
                <w:webHidden/>
              </w:rPr>
              <w:t>17</w:t>
            </w:r>
            <w:r w:rsidR="0022029E">
              <w:rPr>
                <w:webHidden/>
              </w:rPr>
              <w:fldChar w:fldCharType="end"/>
            </w:r>
          </w:hyperlink>
        </w:p>
        <w:p w14:paraId="06A8FD9A" w14:textId="0508A77C" w:rsidR="0022029E" w:rsidRDefault="005E6206" w:rsidP="00762BF9">
          <w:pPr>
            <w:pStyle w:val="TDC2"/>
            <w:spacing w:line="276" w:lineRule="auto"/>
            <w:rPr>
              <w:rFonts w:eastAsiaTheme="minorEastAsia" w:cstheme="minorBidi"/>
              <w:sz w:val="22"/>
              <w:szCs w:val="22"/>
              <w:lang w:val="en-GB" w:eastAsia="en-GB"/>
            </w:rPr>
          </w:pPr>
          <w:hyperlink w:anchor="_Toc124881447" w:history="1">
            <w:r w:rsidR="0022029E" w:rsidRPr="00EF7142">
              <w:rPr>
                <w:rStyle w:val="Hipervnculo"/>
                <w:rFonts w:cstheme="minorHAnsi"/>
                <w:b/>
                <w:bCs/>
              </w:rPr>
              <w:t>Artículo 21: Libertad de expresión y de opinión y acceso a la información</w:t>
            </w:r>
            <w:r w:rsidR="0022029E">
              <w:rPr>
                <w:webHidden/>
              </w:rPr>
              <w:tab/>
            </w:r>
            <w:r w:rsidR="0022029E">
              <w:rPr>
                <w:webHidden/>
              </w:rPr>
              <w:fldChar w:fldCharType="begin"/>
            </w:r>
            <w:r w:rsidR="0022029E">
              <w:rPr>
                <w:webHidden/>
              </w:rPr>
              <w:instrText xml:space="preserve"> PAGEREF _Toc124881447 \h </w:instrText>
            </w:r>
            <w:r w:rsidR="0022029E">
              <w:rPr>
                <w:webHidden/>
              </w:rPr>
            </w:r>
            <w:r w:rsidR="0022029E">
              <w:rPr>
                <w:webHidden/>
              </w:rPr>
              <w:fldChar w:fldCharType="separate"/>
            </w:r>
            <w:r w:rsidR="00CE1F50">
              <w:rPr>
                <w:webHidden/>
              </w:rPr>
              <w:t>18</w:t>
            </w:r>
            <w:r w:rsidR="0022029E">
              <w:rPr>
                <w:webHidden/>
              </w:rPr>
              <w:fldChar w:fldCharType="end"/>
            </w:r>
          </w:hyperlink>
        </w:p>
        <w:p w14:paraId="1C15B631" w14:textId="50BC2B8B" w:rsidR="0022029E" w:rsidRDefault="005E6206" w:rsidP="00762BF9">
          <w:pPr>
            <w:pStyle w:val="TDC2"/>
            <w:spacing w:line="276" w:lineRule="auto"/>
            <w:rPr>
              <w:rFonts w:eastAsiaTheme="minorEastAsia" w:cstheme="minorBidi"/>
              <w:sz w:val="22"/>
              <w:szCs w:val="22"/>
              <w:lang w:val="en-GB" w:eastAsia="en-GB"/>
            </w:rPr>
          </w:pPr>
          <w:hyperlink w:anchor="_Toc124881448" w:history="1">
            <w:r w:rsidR="0022029E" w:rsidRPr="00EF7142">
              <w:rPr>
                <w:rStyle w:val="Hipervnculo"/>
                <w:rFonts w:cstheme="minorHAnsi"/>
                <w:b/>
                <w:bCs/>
              </w:rPr>
              <w:t>Artículo 23: Respeto del hogar y de la familia</w:t>
            </w:r>
            <w:r w:rsidR="0022029E">
              <w:rPr>
                <w:webHidden/>
              </w:rPr>
              <w:tab/>
            </w:r>
            <w:r w:rsidR="0022029E">
              <w:rPr>
                <w:webHidden/>
              </w:rPr>
              <w:fldChar w:fldCharType="begin"/>
            </w:r>
            <w:r w:rsidR="0022029E">
              <w:rPr>
                <w:webHidden/>
              </w:rPr>
              <w:instrText xml:space="preserve"> PAGEREF _Toc124881448 \h </w:instrText>
            </w:r>
            <w:r w:rsidR="0022029E">
              <w:rPr>
                <w:webHidden/>
              </w:rPr>
            </w:r>
            <w:r w:rsidR="0022029E">
              <w:rPr>
                <w:webHidden/>
              </w:rPr>
              <w:fldChar w:fldCharType="separate"/>
            </w:r>
            <w:r w:rsidR="00CE1F50">
              <w:rPr>
                <w:webHidden/>
              </w:rPr>
              <w:t>19</w:t>
            </w:r>
            <w:r w:rsidR="0022029E">
              <w:rPr>
                <w:webHidden/>
              </w:rPr>
              <w:fldChar w:fldCharType="end"/>
            </w:r>
          </w:hyperlink>
        </w:p>
        <w:p w14:paraId="07FB46F4" w14:textId="42E24CA1" w:rsidR="0022029E" w:rsidRDefault="005E6206" w:rsidP="00762BF9">
          <w:pPr>
            <w:pStyle w:val="TDC2"/>
            <w:spacing w:line="276" w:lineRule="auto"/>
            <w:rPr>
              <w:rFonts w:eastAsiaTheme="minorEastAsia" w:cstheme="minorBidi"/>
              <w:sz w:val="22"/>
              <w:szCs w:val="22"/>
              <w:lang w:val="en-GB" w:eastAsia="en-GB"/>
            </w:rPr>
          </w:pPr>
          <w:hyperlink w:anchor="_Toc124881449" w:history="1">
            <w:r w:rsidR="0022029E" w:rsidRPr="00EF7142">
              <w:rPr>
                <w:rStyle w:val="Hipervnculo"/>
                <w:rFonts w:cstheme="minorHAnsi"/>
                <w:b/>
                <w:bCs/>
              </w:rPr>
              <w:t>Artículo 24: Derecho a la Educación</w:t>
            </w:r>
            <w:r w:rsidR="0022029E">
              <w:rPr>
                <w:webHidden/>
              </w:rPr>
              <w:tab/>
            </w:r>
            <w:r w:rsidR="0022029E">
              <w:rPr>
                <w:webHidden/>
              </w:rPr>
              <w:fldChar w:fldCharType="begin"/>
            </w:r>
            <w:r w:rsidR="0022029E">
              <w:rPr>
                <w:webHidden/>
              </w:rPr>
              <w:instrText xml:space="preserve"> PAGEREF _Toc124881449 \h </w:instrText>
            </w:r>
            <w:r w:rsidR="0022029E">
              <w:rPr>
                <w:webHidden/>
              </w:rPr>
            </w:r>
            <w:r w:rsidR="0022029E">
              <w:rPr>
                <w:webHidden/>
              </w:rPr>
              <w:fldChar w:fldCharType="separate"/>
            </w:r>
            <w:r w:rsidR="00CE1F50">
              <w:rPr>
                <w:webHidden/>
              </w:rPr>
              <w:t>20</w:t>
            </w:r>
            <w:r w:rsidR="0022029E">
              <w:rPr>
                <w:webHidden/>
              </w:rPr>
              <w:fldChar w:fldCharType="end"/>
            </w:r>
          </w:hyperlink>
        </w:p>
        <w:p w14:paraId="4DDDA740" w14:textId="175CD1F3" w:rsidR="0022029E" w:rsidRDefault="005E6206" w:rsidP="00762BF9">
          <w:pPr>
            <w:pStyle w:val="TDC2"/>
            <w:spacing w:line="276" w:lineRule="auto"/>
            <w:rPr>
              <w:rFonts w:eastAsiaTheme="minorEastAsia" w:cstheme="minorBidi"/>
              <w:sz w:val="22"/>
              <w:szCs w:val="22"/>
              <w:lang w:val="en-GB" w:eastAsia="en-GB"/>
            </w:rPr>
          </w:pPr>
          <w:hyperlink w:anchor="_Toc124881450" w:history="1">
            <w:r w:rsidR="0022029E" w:rsidRPr="00EF7142">
              <w:rPr>
                <w:rStyle w:val="Hipervnculo"/>
                <w:rFonts w:cstheme="minorHAnsi"/>
                <w:b/>
                <w:bCs/>
                <w:lang w:eastAsia="en-GB"/>
              </w:rPr>
              <w:t>Artículo 25: Derecho a la Salud</w:t>
            </w:r>
            <w:r w:rsidR="0022029E">
              <w:rPr>
                <w:webHidden/>
              </w:rPr>
              <w:tab/>
            </w:r>
            <w:r w:rsidR="0022029E">
              <w:rPr>
                <w:webHidden/>
              </w:rPr>
              <w:fldChar w:fldCharType="begin"/>
            </w:r>
            <w:r w:rsidR="0022029E">
              <w:rPr>
                <w:webHidden/>
              </w:rPr>
              <w:instrText xml:space="preserve"> PAGEREF _Toc124881450 \h </w:instrText>
            </w:r>
            <w:r w:rsidR="0022029E">
              <w:rPr>
                <w:webHidden/>
              </w:rPr>
            </w:r>
            <w:r w:rsidR="0022029E">
              <w:rPr>
                <w:webHidden/>
              </w:rPr>
              <w:fldChar w:fldCharType="separate"/>
            </w:r>
            <w:r w:rsidR="00CE1F50">
              <w:rPr>
                <w:webHidden/>
              </w:rPr>
              <w:t>22</w:t>
            </w:r>
            <w:r w:rsidR="0022029E">
              <w:rPr>
                <w:webHidden/>
              </w:rPr>
              <w:fldChar w:fldCharType="end"/>
            </w:r>
          </w:hyperlink>
        </w:p>
        <w:p w14:paraId="4B662D52" w14:textId="7452BB6B" w:rsidR="0022029E" w:rsidRDefault="005E6206" w:rsidP="00762BF9">
          <w:pPr>
            <w:pStyle w:val="TDC2"/>
            <w:spacing w:line="276" w:lineRule="auto"/>
            <w:rPr>
              <w:rFonts w:eastAsiaTheme="minorEastAsia" w:cstheme="minorBidi"/>
              <w:sz w:val="22"/>
              <w:szCs w:val="22"/>
              <w:lang w:val="en-GB" w:eastAsia="en-GB"/>
            </w:rPr>
          </w:pPr>
          <w:hyperlink w:anchor="_Toc124881451" w:history="1">
            <w:r w:rsidR="0022029E" w:rsidRPr="00EF7142">
              <w:rPr>
                <w:rStyle w:val="Hipervnculo"/>
                <w:rFonts w:cstheme="minorHAnsi"/>
                <w:b/>
                <w:bCs/>
              </w:rPr>
              <w:t>Artículo 27: Trabajo y empleo</w:t>
            </w:r>
            <w:r w:rsidR="0022029E">
              <w:rPr>
                <w:webHidden/>
              </w:rPr>
              <w:tab/>
            </w:r>
            <w:r w:rsidR="0022029E">
              <w:rPr>
                <w:webHidden/>
              </w:rPr>
              <w:fldChar w:fldCharType="begin"/>
            </w:r>
            <w:r w:rsidR="0022029E">
              <w:rPr>
                <w:webHidden/>
              </w:rPr>
              <w:instrText xml:space="preserve"> PAGEREF _Toc124881451 \h </w:instrText>
            </w:r>
            <w:r w:rsidR="0022029E">
              <w:rPr>
                <w:webHidden/>
              </w:rPr>
            </w:r>
            <w:r w:rsidR="0022029E">
              <w:rPr>
                <w:webHidden/>
              </w:rPr>
              <w:fldChar w:fldCharType="separate"/>
            </w:r>
            <w:r w:rsidR="00CE1F50">
              <w:rPr>
                <w:webHidden/>
              </w:rPr>
              <w:t>24</w:t>
            </w:r>
            <w:r w:rsidR="0022029E">
              <w:rPr>
                <w:webHidden/>
              </w:rPr>
              <w:fldChar w:fldCharType="end"/>
            </w:r>
          </w:hyperlink>
        </w:p>
        <w:p w14:paraId="29E59249" w14:textId="0EC725B3" w:rsidR="0022029E" w:rsidRDefault="005E6206" w:rsidP="00762BF9">
          <w:pPr>
            <w:pStyle w:val="TDC2"/>
            <w:spacing w:line="276" w:lineRule="auto"/>
            <w:rPr>
              <w:rFonts w:eastAsiaTheme="minorEastAsia" w:cstheme="minorBidi"/>
              <w:sz w:val="22"/>
              <w:szCs w:val="22"/>
              <w:lang w:val="en-GB" w:eastAsia="en-GB"/>
            </w:rPr>
          </w:pPr>
          <w:hyperlink w:anchor="_Toc124881452" w:history="1">
            <w:r w:rsidR="0022029E" w:rsidRPr="00EF7142">
              <w:rPr>
                <w:rStyle w:val="Hipervnculo"/>
                <w:rFonts w:cstheme="minorHAnsi"/>
                <w:b/>
                <w:bCs/>
              </w:rPr>
              <w:t>Artículo 28: Nivel de vida adecuado y Protección Social</w:t>
            </w:r>
            <w:r w:rsidR="0022029E">
              <w:rPr>
                <w:webHidden/>
              </w:rPr>
              <w:tab/>
            </w:r>
            <w:r w:rsidR="0022029E">
              <w:rPr>
                <w:webHidden/>
              </w:rPr>
              <w:fldChar w:fldCharType="begin"/>
            </w:r>
            <w:r w:rsidR="0022029E">
              <w:rPr>
                <w:webHidden/>
              </w:rPr>
              <w:instrText xml:space="preserve"> PAGEREF _Toc124881452 \h </w:instrText>
            </w:r>
            <w:r w:rsidR="0022029E">
              <w:rPr>
                <w:webHidden/>
              </w:rPr>
            </w:r>
            <w:r w:rsidR="0022029E">
              <w:rPr>
                <w:webHidden/>
              </w:rPr>
              <w:fldChar w:fldCharType="separate"/>
            </w:r>
            <w:r w:rsidR="00CE1F50">
              <w:rPr>
                <w:webHidden/>
              </w:rPr>
              <w:t>25</w:t>
            </w:r>
            <w:r w:rsidR="0022029E">
              <w:rPr>
                <w:webHidden/>
              </w:rPr>
              <w:fldChar w:fldCharType="end"/>
            </w:r>
          </w:hyperlink>
        </w:p>
        <w:p w14:paraId="6729B8C8" w14:textId="3A37D84B" w:rsidR="0022029E" w:rsidRDefault="005E6206" w:rsidP="00762BF9">
          <w:pPr>
            <w:pStyle w:val="TDC2"/>
            <w:spacing w:line="276" w:lineRule="auto"/>
            <w:rPr>
              <w:rFonts w:eastAsiaTheme="minorEastAsia" w:cstheme="minorBidi"/>
              <w:sz w:val="22"/>
              <w:szCs w:val="22"/>
              <w:lang w:val="en-GB" w:eastAsia="en-GB"/>
            </w:rPr>
          </w:pPr>
          <w:hyperlink w:anchor="_Toc124881453" w:history="1">
            <w:r w:rsidR="0022029E" w:rsidRPr="00EF7142">
              <w:rPr>
                <w:rStyle w:val="Hipervnculo"/>
                <w:rFonts w:ascii="Calibri" w:hAnsi="Calibri" w:cs="Calibri"/>
                <w:b/>
                <w:bCs/>
              </w:rPr>
              <w:t>Artículo 29: Participación en la vida política y pública</w:t>
            </w:r>
            <w:r w:rsidR="0022029E">
              <w:rPr>
                <w:webHidden/>
              </w:rPr>
              <w:tab/>
            </w:r>
            <w:r w:rsidR="0022029E">
              <w:rPr>
                <w:webHidden/>
              </w:rPr>
              <w:fldChar w:fldCharType="begin"/>
            </w:r>
            <w:r w:rsidR="0022029E">
              <w:rPr>
                <w:webHidden/>
              </w:rPr>
              <w:instrText xml:space="preserve"> PAGEREF _Toc124881453 \h </w:instrText>
            </w:r>
            <w:r w:rsidR="0022029E">
              <w:rPr>
                <w:webHidden/>
              </w:rPr>
            </w:r>
            <w:r w:rsidR="0022029E">
              <w:rPr>
                <w:webHidden/>
              </w:rPr>
              <w:fldChar w:fldCharType="separate"/>
            </w:r>
            <w:r w:rsidR="00CE1F50">
              <w:rPr>
                <w:webHidden/>
              </w:rPr>
              <w:t>27</w:t>
            </w:r>
            <w:r w:rsidR="0022029E">
              <w:rPr>
                <w:webHidden/>
              </w:rPr>
              <w:fldChar w:fldCharType="end"/>
            </w:r>
          </w:hyperlink>
        </w:p>
        <w:p w14:paraId="46A2CEB0" w14:textId="3CCF18B8" w:rsidR="0022029E" w:rsidRDefault="005E6206" w:rsidP="00762BF9">
          <w:pPr>
            <w:pStyle w:val="TDC2"/>
            <w:spacing w:line="276" w:lineRule="auto"/>
            <w:rPr>
              <w:rFonts w:eastAsiaTheme="minorEastAsia" w:cstheme="minorBidi"/>
              <w:sz w:val="22"/>
              <w:szCs w:val="22"/>
              <w:lang w:val="en-GB" w:eastAsia="en-GB"/>
            </w:rPr>
          </w:pPr>
          <w:hyperlink w:anchor="_Toc124881454" w:history="1">
            <w:r w:rsidR="0022029E" w:rsidRPr="00EF7142">
              <w:rPr>
                <w:rStyle w:val="Hipervnculo"/>
                <w:rFonts w:cstheme="minorHAnsi"/>
                <w:b/>
                <w:bCs/>
              </w:rPr>
              <w:t>Artículo 31: Recopilación de Datos y Estadísticas</w:t>
            </w:r>
            <w:r w:rsidR="0022029E">
              <w:rPr>
                <w:webHidden/>
              </w:rPr>
              <w:tab/>
            </w:r>
            <w:r w:rsidR="0022029E">
              <w:rPr>
                <w:webHidden/>
              </w:rPr>
              <w:fldChar w:fldCharType="begin"/>
            </w:r>
            <w:r w:rsidR="0022029E">
              <w:rPr>
                <w:webHidden/>
              </w:rPr>
              <w:instrText xml:space="preserve"> PAGEREF _Toc124881454 \h </w:instrText>
            </w:r>
            <w:r w:rsidR="0022029E">
              <w:rPr>
                <w:webHidden/>
              </w:rPr>
            </w:r>
            <w:r w:rsidR="0022029E">
              <w:rPr>
                <w:webHidden/>
              </w:rPr>
              <w:fldChar w:fldCharType="separate"/>
            </w:r>
            <w:r w:rsidR="00CE1F50">
              <w:rPr>
                <w:webHidden/>
              </w:rPr>
              <w:t>28</w:t>
            </w:r>
            <w:r w:rsidR="0022029E">
              <w:rPr>
                <w:webHidden/>
              </w:rPr>
              <w:fldChar w:fldCharType="end"/>
            </w:r>
          </w:hyperlink>
        </w:p>
        <w:p w14:paraId="6EDFFD57" w14:textId="1204CC1F" w:rsidR="0022029E" w:rsidRDefault="005E6206" w:rsidP="00762BF9">
          <w:pPr>
            <w:pStyle w:val="TDC2"/>
            <w:spacing w:line="276" w:lineRule="auto"/>
            <w:rPr>
              <w:rFonts w:eastAsiaTheme="minorEastAsia" w:cstheme="minorBidi"/>
              <w:sz w:val="22"/>
              <w:szCs w:val="22"/>
              <w:lang w:val="en-GB" w:eastAsia="en-GB"/>
            </w:rPr>
          </w:pPr>
          <w:hyperlink w:anchor="_Toc124881455" w:history="1">
            <w:r w:rsidR="0022029E" w:rsidRPr="00EF7142">
              <w:rPr>
                <w:rStyle w:val="Hipervnculo"/>
                <w:rFonts w:cstheme="minorHAnsi"/>
                <w:b/>
                <w:bCs/>
              </w:rPr>
              <w:t>Artículo 33: Aplicación y Seguimiento Nacionales</w:t>
            </w:r>
            <w:r w:rsidR="0022029E">
              <w:rPr>
                <w:webHidden/>
              </w:rPr>
              <w:tab/>
            </w:r>
            <w:r w:rsidR="0022029E">
              <w:rPr>
                <w:webHidden/>
              </w:rPr>
              <w:fldChar w:fldCharType="begin"/>
            </w:r>
            <w:r w:rsidR="0022029E">
              <w:rPr>
                <w:webHidden/>
              </w:rPr>
              <w:instrText xml:space="preserve"> PAGEREF _Toc124881455 \h </w:instrText>
            </w:r>
            <w:r w:rsidR="0022029E">
              <w:rPr>
                <w:webHidden/>
              </w:rPr>
            </w:r>
            <w:r w:rsidR="0022029E">
              <w:rPr>
                <w:webHidden/>
              </w:rPr>
              <w:fldChar w:fldCharType="separate"/>
            </w:r>
            <w:r w:rsidR="00CE1F50">
              <w:rPr>
                <w:webHidden/>
              </w:rPr>
              <w:t>29</w:t>
            </w:r>
            <w:r w:rsidR="0022029E">
              <w:rPr>
                <w:webHidden/>
              </w:rPr>
              <w:fldChar w:fldCharType="end"/>
            </w:r>
          </w:hyperlink>
        </w:p>
        <w:p w14:paraId="2DF15E32" w14:textId="2206F6C8" w:rsidR="00075BB7" w:rsidRPr="00075BB7" w:rsidRDefault="00075BB7" w:rsidP="00762BF9">
          <w:pPr>
            <w:spacing w:after="120" w:line="276" w:lineRule="auto"/>
            <w:rPr>
              <w:b/>
              <w:bCs/>
            </w:rPr>
          </w:pPr>
          <w:r w:rsidRPr="00075BB7">
            <w:rPr>
              <w:rFonts w:cstheme="minorHAnsi"/>
              <w:b/>
              <w:bCs/>
            </w:rPr>
            <w:fldChar w:fldCharType="end"/>
          </w:r>
        </w:p>
      </w:sdtContent>
    </w:sdt>
    <w:p w14:paraId="0DA8F5EF" w14:textId="25F5D2BC" w:rsidR="003C491C" w:rsidRDefault="003C491C">
      <w:pPr>
        <w:rPr>
          <w:rFonts w:eastAsiaTheme="minorEastAsia" w:cstheme="minorHAnsi"/>
          <w:b/>
          <w:bCs/>
          <w:lang w:val="es-AR" w:eastAsia="es-AR"/>
        </w:rPr>
      </w:pPr>
      <w:r>
        <w:rPr>
          <w:rFonts w:eastAsiaTheme="minorEastAsia" w:cstheme="minorHAnsi"/>
          <w:b/>
          <w:bCs/>
          <w:lang w:val="es-AR" w:eastAsia="es-AR"/>
        </w:rPr>
        <w:br w:type="page"/>
      </w:r>
    </w:p>
    <w:p w14:paraId="62A23203" w14:textId="77777777" w:rsidR="00075BB7" w:rsidRDefault="00075BB7" w:rsidP="00762BF9">
      <w:pPr>
        <w:spacing w:after="120" w:line="276" w:lineRule="auto"/>
        <w:jc w:val="both"/>
        <w:rPr>
          <w:rFonts w:eastAsiaTheme="minorEastAsia" w:cstheme="minorHAnsi"/>
          <w:b/>
          <w:bCs/>
          <w:lang w:val="es-AR" w:eastAsia="es-AR"/>
        </w:rPr>
      </w:pPr>
    </w:p>
    <w:p w14:paraId="50F4F489" w14:textId="77777777" w:rsidR="00762BF9" w:rsidRPr="00075BB7" w:rsidRDefault="00762BF9" w:rsidP="00762BF9">
      <w:pPr>
        <w:spacing w:after="120" w:line="276" w:lineRule="auto"/>
        <w:jc w:val="both"/>
        <w:rPr>
          <w:rFonts w:eastAsiaTheme="minorEastAsia" w:cstheme="minorHAnsi"/>
          <w:b/>
          <w:bCs/>
          <w:lang w:val="es-AR" w:eastAsia="es-AR"/>
        </w:rPr>
      </w:pPr>
    </w:p>
    <w:p w14:paraId="70F89E6E" w14:textId="58BD2D2A" w:rsidR="00E413A2" w:rsidRPr="00454D5A" w:rsidRDefault="00E413A2" w:rsidP="00762BF9">
      <w:pPr>
        <w:pStyle w:val="Ttulo1"/>
        <w:numPr>
          <w:ilvl w:val="0"/>
          <w:numId w:val="23"/>
        </w:numPr>
        <w:spacing w:after="240" w:line="276" w:lineRule="auto"/>
        <w:rPr>
          <w:rFonts w:asciiTheme="minorHAnsi" w:eastAsiaTheme="minorEastAsia" w:hAnsiTheme="minorHAnsi" w:cstheme="minorHAnsi"/>
          <w:b/>
          <w:bCs/>
          <w:color w:val="auto"/>
          <w:sz w:val="28"/>
          <w:szCs w:val="28"/>
          <w:lang w:val="es-AR" w:eastAsia="es-AR"/>
        </w:rPr>
      </w:pPr>
      <w:bookmarkStart w:id="0" w:name="_Toc123311668"/>
      <w:bookmarkStart w:id="1" w:name="_Toc124881430"/>
      <w:r w:rsidRPr="00454D5A">
        <w:rPr>
          <w:rFonts w:asciiTheme="minorHAnsi" w:eastAsiaTheme="minorEastAsia" w:hAnsiTheme="minorHAnsi" w:cstheme="minorHAnsi"/>
          <w:b/>
          <w:bCs/>
          <w:color w:val="auto"/>
          <w:sz w:val="28"/>
          <w:szCs w:val="28"/>
          <w:lang w:val="es-AR" w:eastAsia="es-AR"/>
        </w:rPr>
        <w:t>Resumen Ejecutivo</w:t>
      </w:r>
      <w:bookmarkEnd w:id="0"/>
      <w:bookmarkEnd w:id="1"/>
    </w:p>
    <w:p w14:paraId="0CE2CF96" w14:textId="28922EA6" w:rsidR="00E413A2" w:rsidRPr="003F612F" w:rsidRDefault="00FF21A0" w:rsidP="00762BF9">
      <w:pPr>
        <w:spacing w:after="240" w:line="276" w:lineRule="auto"/>
        <w:ind w:firstLine="720"/>
        <w:jc w:val="both"/>
        <w:rPr>
          <w:rFonts w:eastAsia="Times New Roman" w:cstheme="minorHAnsi"/>
          <w:lang w:val="es-AR"/>
        </w:rPr>
      </w:pPr>
      <w:r>
        <w:rPr>
          <w:rFonts w:eastAsia="Times New Roman" w:cstheme="minorHAnsi"/>
          <w:lang w:val="es-AR"/>
        </w:rPr>
        <w:t xml:space="preserve">Un conjunto de </w:t>
      </w:r>
      <w:r w:rsidR="00E413A2" w:rsidRPr="003F612F">
        <w:rPr>
          <w:rFonts w:eastAsia="Times New Roman" w:cstheme="minorHAnsi"/>
          <w:lang w:val="es-AR"/>
        </w:rPr>
        <w:t xml:space="preserve">organizaciones de la sociedad civil argentina y universidades nacionales </w:t>
      </w:r>
      <w:r w:rsidR="00DD0175" w:rsidRPr="003F612F">
        <w:rPr>
          <w:rFonts w:eastAsia="Times New Roman" w:cstheme="minorHAnsi"/>
          <w:lang w:val="es-AR"/>
        </w:rPr>
        <w:t>e</w:t>
      </w:r>
      <w:r w:rsidR="00E413A2" w:rsidRPr="003F612F">
        <w:rPr>
          <w:rFonts w:eastAsia="Times New Roman" w:cstheme="minorHAnsi"/>
          <w:lang w:val="es-AR"/>
        </w:rPr>
        <w:t>laboramos el presente informe para poner a consideración del Comité</w:t>
      </w:r>
      <w:r w:rsidR="006E7B4D">
        <w:rPr>
          <w:rFonts w:eastAsia="Times New Roman" w:cstheme="minorHAnsi"/>
          <w:lang w:val="es-AR"/>
        </w:rPr>
        <w:t>,</w:t>
      </w:r>
      <w:r w:rsidR="00E413A2" w:rsidRPr="003F612F">
        <w:rPr>
          <w:rFonts w:eastAsia="Times New Roman" w:cstheme="minorHAnsi"/>
          <w:lang w:val="es-AR"/>
        </w:rPr>
        <w:t xml:space="preserve"> información actualizada sobre la situación de las </w:t>
      </w:r>
      <w:r w:rsidR="00723D9F" w:rsidRPr="003F612F">
        <w:rPr>
          <w:rFonts w:eastAsia="Times New Roman" w:cstheme="minorHAnsi"/>
          <w:lang w:val="es-AR"/>
        </w:rPr>
        <w:t xml:space="preserve">personas con discapacidad </w:t>
      </w:r>
      <w:r w:rsidR="00E413A2" w:rsidRPr="003F612F">
        <w:rPr>
          <w:rFonts w:eastAsia="Times New Roman" w:cstheme="minorHAnsi"/>
          <w:lang w:val="es-AR"/>
        </w:rPr>
        <w:t>(en adelante “PCD”) en el periodo 2018/2022.</w:t>
      </w:r>
    </w:p>
    <w:p w14:paraId="74425713" w14:textId="36D39C0C" w:rsidR="00E413A2" w:rsidRPr="003F612F" w:rsidRDefault="00E413A2" w:rsidP="00762BF9">
      <w:pPr>
        <w:spacing w:after="240" w:line="276" w:lineRule="auto"/>
        <w:ind w:firstLine="720"/>
        <w:jc w:val="both"/>
        <w:rPr>
          <w:rFonts w:eastAsia="Times New Roman" w:cstheme="minorHAnsi"/>
          <w:lang w:val="es-AR"/>
        </w:rPr>
      </w:pPr>
      <w:r w:rsidRPr="003F612F">
        <w:rPr>
          <w:rFonts w:eastAsia="Times New Roman" w:cstheme="minorHAnsi"/>
          <w:lang w:val="es-AR"/>
        </w:rPr>
        <w:t xml:space="preserve">Acorde a las obligaciones de derechos humanos en cabeza del Estado argentino dispuestas por la Convención sobre los Derechos de las </w:t>
      </w:r>
      <w:r w:rsidR="008A5AE0" w:rsidRPr="003F612F">
        <w:rPr>
          <w:rFonts w:eastAsia="Times New Roman" w:cstheme="minorHAnsi"/>
          <w:lang w:val="es-AR"/>
        </w:rPr>
        <w:t>PCD</w:t>
      </w:r>
      <w:r w:rsidRPr="003F612F">
        <w:rPr>
          <w:rFonts w:eastAsia="Times New Roman" w:cstheme="minorHAnsi"/>
          <w:lang w:val="es-AR"/>
        </w:rPr>
        <w:t xml:space="preserve"> (en adelante “CDPD”), señalamos </w:t>
      </w:r>
      <w:r w:rsidR="005C1B3D" w:rsidRPr="003F612F">
        <w:rPr>
          <w:rFonts w:eastAsia="Times New Roman" w:cstheme="minorHAnsi"/>
          <w:lang w:val="es-AR"/>
        </w:rPr>
        <w:t>ciert</w:t>
      </w:r>
      <w:r w:rsidRPr="003F612F">
        <w:rPr>
          <w:rFonts w:eastAsia="Times New Roman" w:cstheme="minorHAnsi"/>
          <w:lang w:val="es-AR"/>
        </w:rPr>
        <w:t>os avances</w:t>
      </w:r>
      <w:r w:rsidR="005C1B3D" w:rsidRPr="003F612F">
        <w:rPr>
          <w:rFonts w:eastAsia="Times New Roman" w:cstheme="minorHAnsi"/>
          <w:lang w:val="es-AR"/>
        </w:rPr>
        <w:t>.</w:t>
      </w:r>
      <w:r w:rsidRPr="003F612F">
        <w:rPr>
          <w:rFonts w:eastAsia="Times New Roman" w:cstheme="minorHAnsi"/>
          <w:lang w:val="es-AR"/>
        </w:rPr>
        <w:t xml:space="preserve"> Sin embargo, advertimos la persistencia de barreras estructurales, incumplimientos en materia de derechos de las PCD, así como </w:t>
      </w:r>
      <w:r w:rsidR="00DD0175" w:rsidRPr="003F612F">
        <w:rPr>
          <w:rFonts w:eastAsia="Times New Roman" w:cstheme="minorHAnsi"/>
          <w:lang w:val="es-AR"/>
        </w:rPr>
        <w:t xml:space="preserve">la persistente </w:t>
      </w:r>
      <w:r w:rsidRPr="003F612F">
        <w:rPr>
          <w:rFonts w:eastAsia="Times New Roman" w:cstheme="minorHAnsi"/>
          <w:lang w:val="es-AR"/>
        </w:rPr>
        <w:t xml:space="preserve">discriminación y exclusión en perjuicio de </w:t>
      </w:r>
      <w:r w:rsidR="00E67CCD">
        <w:rPr>
          <w:rFonts w:eastAsia="Times New Roman" w:cstheme="minorHAnsi"/>
          <w:lang w:val="es-AR"/>
        </w:rPr>
        <w:t>ellas</w:t>
      </w:r>
      <w:r w:rsidR="005C1B3D" w:rsidRPr="003F612F">
        <w:rPr>
          <w:rFonts w:eastAsia="Times New Roman" w:cstheme="minorHAnsi"/>
          <w:lang w:val="es-AR"/>
        </w:rPr>
        <w:t>.</w:t>
      </w:r>
    </w:p>
    <w:p w14:paraId="053CD695" w14:textId="7180D18D" w:rsidR="00D430C7" w:rsidRDefault="00E413A2" w:rsidP="00762BF9">
      <w:pPr>
        <w:spacing w:after="240" w:line="276" w:lineRule="auto"/>
        <w:ind w:firstLine="720"/>
        <w:jc w:val="both"/>
        <w:rPr>
          <w:rFonts w:eastAsia="Times New Roman" w:cstheme="minorHAnsi"/>
          <w:lang w:val="es-AR"/>
        </w:rPr>
      </w:pPr>
      <w:r w:rsidRPr="003F612F">
        <w:rPr>
          <w:rFonts w:eastAsia="Times New Roman" w:cstheme="minorHAnsi"/>
          <w:lang w:val="es-AR"/>
        </w:rPr>
        <w:t xml:space="preserve">El informe recupera las experiencias de las PCD en un intento de representar la realidad a lo largo del país, dando cuenta de las brechas geográficas que profundizan la desigualdad y discriminación. </w:t>
      </w:r>
      <w:r w:rsidR="00D81D8E">
        <w:rPr>
          <w:rFonts w:eastAsia="Times New Roman" w:cstheme="minorHAnsi"/>
          <w:lang w:val="es-AR"/>
        </w:rPr>
        <w:t xml:space="preserve">En su </w:t>
      </w:r>
      <w:r w:rsidR="00D430C7" w:rsidRPr="00D430C7">
        <w:rPr>
          <w:rFonts w:eastAsia="Times New Roman" w:cstheme="minorHAnsi"/>
          <w:lang w:val="es-AR"/>
        </w:rPr>
        <w:t xml:space="preserve"> elaboración </w:t>
      </w:r>
      <w:r w:rsidR="00D81D8E">
        <w:rPr>
          <w:rFonts w:eastAsia="Times New Roman" w:cstheme="minorHAnsi"/>
          <w:lang w:val="es-AR"/>
        </w:rPr>
        <w:t>p</w:t>
      </w:r>
      <w:r w:rsidR="00D430C7" w:rsidRPr="00D430C7">
        <w:rPr>
          <w:rFonts w:eastAsia="Times New Roman" w:cstheme="minorHAnsi"/>
          <w:lang w:val="es-AR"/>
        </w:rPr>
        <w:t xml:space="preserve">articiparon las siguientes organizaciones y universidades: Asamblea Permanente por los Derechos Humanos (APDH); Asociación Azul; Asociación Civil Andar; Asociación Civil por la Igualdad y la Justicia (ACIJ); Asociación Colibrí; Asociación Jujeña de ayuda a Personas con Esquizofrenia y Familia (AJUPEF); Centro de Estudios Legales y Sociales (CELS); Comisión Universitaria sobre Discapacidad (CUD) – Universidad Nacional de La Plata; FACA; Federación Argentina de Instituciones de Ciegos y Ambliopes (FAICA); Fundación Rumbos; Instituto Especializado en Derecho de PCD del Colegio de Abogados de Rosario; Mesa intersectorial de Discapacidad y Derechos Humanos de Córdoba; Observatorio de Salud Mental y Derechos Humanos de Córdoba;  Programa de Discapacidad y Derechos Humanos - Facultad de Derecho – Universidad Nacional de Rosario; Red por los Derechos de las PCD (REDI).  </w:t>
      </w:r>
    </w:p>
    <w:p w14:paraId="36093DD6" w14:textId="18FF2DC2" w:rsidR="00D430C7" w:rsidRDefault="00D430C7" w:rsidP="00762BF9">
      <w:pPr>
        <w:spacing w:after="240" w:line="276" w:lineRule="auto"/>
        <w:ind w:firstLine="720"/>
        <w:jc w:val="both"/>
        <w:rPr>
          <w:rFonts w:eastAsia="Times New Roman" w:cstheme="minorHAnsi"/>
          <w:lang w:val="es-AR"/>
        </w:rPr>
      </w:pPr>
      <w:r w:rsidRPr="003F612F">
        <w:rPr>
          <w:rFonts w:eastAsia="Times New Roman" w:cstheme="minorHAnsi"/>
          <w:lang w:val="es-AR"/>
        </w:rPr>
        <w:t xml:space="preserve">Resaltamos el trabajo colectivo y participativo de las organizaciones, universidades y sociedad civil involucradas, quienes sostenemos con </w:t>
      </w:r>
      <w:r w:rsidR="00FF21A0">
        <w:rPr>
          <w:rFonts w:eastAsia="Times New Roman" w:cstheme="minorHAnsi"/>
          <w:lang w:val="es-AR"/>
        </w:rPr>
        <w:t>nuestro trabajo</w:t>
      </w:r>
      <w:r w:rsidR="00FF21A0" w:rsidRPr="003F612F">
        <w:rPr>
          <w:rFonts w:eastAsia="Times New Roman" w:cstheme="minorHAnsi"/>
          <w:lang w:val="es-AR"/>
        </w:rPr>
        <w:t xml:space="preserve"> </w:t>
      </w:r>
      <w:r w:rsidRPr="003F612F">
        <w:rPr>
          <w:rFonts w:eastAsia="Times New Roman" w:cstheme="minorHAnsi"/>
          <w:lang w:val="es-AR"/>
        </w:rPr>
        <w:t xml:space="preserve">en el ámbito legal, territorial, educativo e interdisciplinario la defensa de los derechos de las PCD y promovemos la construcción de una sociedad inclusiva e igualitaria. </w:t>
      </w:r>
      <w:r w:rsidR="00FF21A0">
        <w:rPr>
          <w:rFonts w:eastAsia="Times New Roman" w:cstheme="minorHAnsi"/>
          <w:lang w:val="es-AR"/>
        </w:rPr>
        <w:t>También agradecemos a IDA qu</w:t>
      </w:r>
      <w:r w:rsidR="008C6FDB">
        <w:rPr>
          <w:rFonts w:eastAsia="Times New Roman" w:cstheme="minorHAnsi"/>
          <w:lang w:val="es-AR"/>
        </w:rPr>
        <w:t>e</w:t>
      </w:r>
      <w:r w:rsidR="00E67CCD">
        <w:rPr>
          <w:rFonts w:eastAsia="Times New Roman" w:cstheme="minorHAnsi"/>
          <w:lang w:val="es-AR"/>
        </w:rPr>
        <w:t>,</w:t>
      </w:r>
      <w:r w:rsidR="00C46949">
        <w:rPr>
          <w:rFonts w:eastAsia="Times New Roman" w:cstheme="minorHAnsi"/>
          <w:lang w:val="es-AR"/>
        </w:rPr>
        <w:t xml:space="preserve"> </w:t>
      </w:r>
      <w:r w:rsidR="00FF21A0">
        <w:rPr>
          <w:rFonts w:eastAsia="Times New Roman" w:cstheme="minorHAnsi"/>
          <w:lang w:val="es-AR"/>
        </w:rPr>
        <w:t>con su apoyo</w:t>
      </w:r>
      <w:r w:rsidR="00C46949">
        <w:rPr>
          <w:rFonts w:eastAsia="Times New Roman" w:cstheme="minorHAnsi"/>
          <w:lang w:val="es-AR"/>
        </w:rPr>
        <w:t>, y transmisión de experiencia,</w:t>
      </w:r>
      <w:r w:rsidR="00FF21A0">
        <w:rPr>
          <w:rFonts w:eastAsia="Times New Roman" w:cstheme="minorHAnsi"/>
          <w:lang w:val="es-AR"/>
        </w:rPr>
        <w:t xml:space="preserve"> facilitaron la confección del presente informe</w:t>
      </w:r>
      <w:r w:rsidR="00C46949">
        <w:rPr>
          <w:rFonts w:eastAsia="Times New Roman" w:cstheme="minorHAnsi"/>
          <w:lang w:val="es-AR"/>
        </w:rPr>
        <w:t xml:space="preserve"> y contribuyen desde hace muchos años a fortalecer a la sociedad civil de nuestro país.</w:t>
      </w:r>
    </w:p>
    <w:p w14:paraId="04185F36" w14:textId="77777777" w:rsidR="00D430C7" w:rsidRDefault="00D430C7" w:rsidP="00762BF9">
      <w:pPr>
        <w:spacing w:after="240" w:line="276" w:lineRule="auto"/>
        <w:ind w:firstLine="720"/>
        <w:jc w:val="both"/>
        <w:rPr>
          <w:rFonts w:eastAsia="Times New Roman" w:cstheme="minorHAnsi"/>
          <w:lang w:val="es-AR"/>
        </w:rPr>
      </w:pPr>
    </w:p>
    <w:p w14:paraId="1EC56D05" w14:textId="77777777" w:rsidR="00454D5A" w:rsidRDefault="00454D5A" w:rsidP="00762BF9">
      <w:pPr>
        <w:spacing w:line="276" w:lineRule="auto"/>
        <w:rPr>
          <w:rFonts w:eastAsia="Times New Roman" w:cstheme="minorHAnsi"/>
          <w:lang w:val="es-AR"/>
        </w:rPr>
      </w:pPr>
      <w:r>
        <w:rPr>
          <w:rFonts w:eastAsia="Times New Roman" w:cstheme="minorHAnsi"/>
          <w:lang w:val="es-AR"/>
        </w:rPr>
        <w:br w:type="page"/>
      </w:r>
    </w:p>
    <w:p w14:paraId="504F456B" w14:textId="77E6A58D" w:rsidR="00E413A2" w:rsidRPr="00454D5A" w:rsidRDefault="00E413A2" w:rsidP="00762BF9">
      <w:pPr>
        <w:pStyle w:val="Ttulo1"/>
        <w:numPr>
          <w:ilvl w:val="0"/>
          <w:numId w:val="23"/>
        </w:numPr>
        <w:spacing w:after="240" w:line="276" w:lineRule="auto"/>
        <w:rPr>
          <w:rFonts w:asciiTheme="minorHAnsi" w:eastAsia="Times New Roman" w:hAnsiTheme="minorHAnsi" w:cstheme="minorHAnsi"/>
          <w:b/>
          <w:bCs/>
          <w:color w:val="auto"/>
          <w:sz w:val="28"/>
          <w:szCs w:val="28"/>
          <w:lang w:val="es-AR"/>
        </w:rPr>
      </w:pPr>
      <w:bookmarkStart w:id="2" w:name="_Toc123311669"/>
      <w:bookmarkStart w:id="3" w:name="_Toc124881431"/>
      <w:r w:rsidRPr="00454D5A">
        <w:rPr>
          <w:rFonts w:asciiTheme="minorHAnsi" w:eastAsia="Times New Roman" w:hAnsiTheme="minorHAnsi" w:cstheme="minorHAnsi"/>
          <w:b/>
          <w:bCs/>
          <w:color w:val="auto"/>
          <w:sz w:val="28"/>
          <w:szCs w:val="28"/>
          <w:lang w:val="es-AR"/>
        </w:rPr>
        <w:lastRenderedPageBreak/>
        <w:t xml:space="preserve">Situación de los derechos de las </w:t>
      </w:r>
      <w:r w:rsidR="008A5AE0" w:rsidRPr="00454D5A">
        <w:rPr>
          <w:rFonts w:asciiTheme="minorHAnsi" w:eastAsia="Times New Roman" w:hAnsiTheme="minorHAnsi" w:cstheme="minorHAnsi"/>
          <w:b/>
          <w:bCs/>
          <w:color w:val="auto"/>
          <w:sz w:val="28"/>
          <w:szCs w:val="28"/>
          <w:lang w:val="es-AR"/>
        </w:rPr>
        <w:t>PCD</w:t>
      </w:r>
      <w:r w:rsidRPr="00454D5A">
        <w:rPr>
          <w:rFonts w:asciiTheme="minorHAnsi" w:eastAsia="Times New Roman" w:hAnsiTheme="minorHAnsi" w:cstheme="minorHAnsi"/>
          <w:b/>
          <w:bCs/>
          <w:color w:val="auto"/>
          <w:sz w:val="28"/>
          <w:szCs w:val="28"/>
          <w:lang w:val="es-AR"/>
        </w:rPr>
        <w:t xml:space="preserve"> según los artículos de la Convención</w:t>
      </w:r>
      <w:bookmarkEnd w:id="2"/>
      <w:bookmarkEnd w:id="3"/>
    </w:p>
    <w:tbl>
      <w:tblPr>
        <w:tblStyle w:val="Tablaconcuadrcula"/>
        <w:tblW w:w="0" w:type="auto"/>
        <w:tblLook w:val="04A0" w:firstRow="1" w:lastRow="0" w:firstColumn="1" w:lastColumn="0" w:noHBand="0" w:noVBand="1"/>
      </w:tblPr>
      <w:tblGrid>
        <w:gridCol w:w="9736"/>
      </w:tblGrid>
      <w:tr w:rsidR="00C37C64" w14:paraId="321E3603" w14:textId="77777777" w:rsidTr="00C37C64">
        <w:tc>
          <w:tcPr>
            <w:tcW w:w="9736" w:type="dxa"/>
            <w:shd w:val="clear" w:color="auto" w:fill="D5DCE4" w:themeFill="text2" w:themeFillTint="33"/>
          </w:tcPr>
          <w:p w14:paraId="08369C7E" w14:textId="1BD0DC81" w:rsidR="00C37C64" w:rsidRPr="00C37C64" w:rsidRDefault="00C37C64"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4" w:name="_Toc123311670"/>
            <w:bookmarkStart w:id="5" w:name="_Toc124881432"/>
            <w:r w:rsidRPr="00C37C64">
              <w:rPr>
                <w:rFonts w:asciiTheme="minorHAnsi" w:eastAsia="Times New Roman" w:hAnsiTheme="minorHAnsi" w:cstheme="minorHAnsi"/>
                <w:b/>
                <w:bCs/>
                <w:color w:val="auto"/>
                <w:sz w:val="24"/>
                <w:szCs w:val="24"/>
                <w:lang w:val="es-AR"/>
              </w:rPr>
              <w:t>Artículo 4 - Obligaciones generales</w:t>
            </w:r>
            <w:bookmarkEnd w:id="4"/>
            <w:bookmarkEnd w:id="5"/>
          </w:p>
        </w:tc>
      </w:tr>
    </w:tbl>
    <w:p w14:paraId="3FAA255F" w14:textId="6F5AD7F2" w:rsidR="000859B1" w:rsidRDefault="000859B1" w:rsidP="00762BF9">
      <w:pPr>
        <w:spacing w:before="240" w:after="240" w:line="276" w:lineRule="auto"/>
        <w:ind w:firstLine="720"/>
        <w:jc w:val="both"/>
        <w:rPr>
          <w:rFonts w:eastAsia="Times New Roman" w:cstheme="minorHAnsi"/>
          <w:bCs/>
          <w:lang w:val="es-AR"/>
        </w:rPr>
      </w:pPr>
      <w:r w:rsidRPr="003F612F">
        <w:rPr>
          <w:rFonts w:eastAsia="Times New Roman" w:cstheme="minorHAnsi"/>
          <w:bCs/>
          <w:lang w:val="es-AR"/>
        </w:rPr>
        <w:t xml:space="preserve">Los obstáculos para la obtención del </w:t>
      </w:r>
      <w:r w:rsidR="00027BA6">
        <w:rPr>
          <w:rFonts w:eastAsia="Times New Roman" w:cstheme="minorHAnsi"/>
          <w:bCs/>
          <w:lang w:val="es-AR"/>
        </w:rPr>
        <w:t>Certificad o Único de Discapacidad (</w:t>
      </w:r>
      <w:r w:rsidRPr="003F612F">
        <w:rPr>
          <w:rFonts w:eastAsia="Times New Roman" w:cstheme="minorHAnsi"/>
          <w:bCs/>
          <w:lang w:val="es-AR"/>
        </w:rPr>
        <w:t>CUD</w:t>
      </w:r>
      <w:r w:rsidR="00027BA6">
        <w:rPr>
          <w:rFonts w:eastAsia="Times New Roman" w:cstheme="minorHAnsi"/>
          <w:bCs/>
          <w:lang w:val="es-AR"/>
        </w:rPr>
        <w:t>)</w:t>
      </w:r>
      <w:r w:rsidRPr="003F612F">
        <w:rPr>
          <w:rFonts w:eastAsia="Times New Roman" w:cstheme="minorHAnsi"/>
          <w:bCs/>
          <w:lang w:val="es-AR"/>
        </w:rPr>
        <w:t xml:space="preserve"> permanecen, destacándose la escasa cantidad de juntas evaluadoras, la falta de capacitación y criterio en la solicitud de exámenes probatorios de la discapacidad y los rechazos en el otorgamiento por el desconocimiento del modelo social. </w:t>
      </w:r>
    </w:p>
    <w:p w14:paraId="22595EC0" w14:textId="6D57AD71" w:rsidR="00E413A2" w:rsidRPr="00624EA9" w:rsidRDefault="00AB78F6" w:rsidP="00762BF9">
      <w:pPr>
        <w:spacing w:after="240" w:line="276" w:lineRule="auto"/>
        <w:ind w:firstLine="720"/>
        <w:jc w:val="both"/>
        <w:rPr>
          <w:rFonts w:ascii="Calibri" w:hAnsi="Calibri" w:cs="Calibri"/>
          <w:color w:val="1F497D"/>
          <w:shd w:val="clear" w:color="auto" w:fill="FFFFFF"/>
        </w:rPr>
      </w:pPr>
      <w:r>
        <w:rPr>
          <w:rFonts w:eastAsia="Times New Roman" w:cstheme="minorHAnsi"/>
          <w:bCs/>
          <w:lang w:val="es-AR"/>
        </w:rPr>
        <w:t>Recientemente, se aprobó un</w:t>
      </w:r>
      <w:r w:rsidR="00E413A2" w:rsidRPr="003F612F">
        <w:rPr>
          <w:rFonts w:eastAsia="Times New Roman" w:cstheme="minorHAnsi"/>
          <w:bCs/>
          <w:lang w:val="es-AR"/>
        </w:rPr>
        <w:t xml:space="preserve"> proyecto de ley que permite expedir el C</w:t>
      </w:r>
      <w:r w:rsidR="00C37C64">
        <w:rPr>
          <w:rFonts w:eastAsia="Times New Roman" w:cstheme="minorHAnsi"/>
          <w:bCs/>
          <w:lang w:val="es-AR"/>
        </w:rPr>
        <w:t xml:space="preserve">ertificado Único de </w:t>
      </w:r>
      <w:r w:rsidR="00E413A2" w:rsidRPr="003F612F">
        <w:rPr>
          <w:rFonts w:eastAsia="Times New Roman" w:cstheme="minorHAnsi"/>
          <w:bCs/>
          <w:lang w:val="es-AR"/>
        </w:rPr>
        <w:t>D</w:t>
      </w:r>
      <w:r w:rsidR="00C37C64">
        <w:rPr>
          <w:rFonts w:eastAsia="Times New Roman" w:cstheme="minorHAnsi"/>
          <w:bCs/>
          <w:lang w:val="es-AR"/>
        </w:rPr>
        <w:t>iscapacidad (CUD)</w:t>
      </w:r>
      <w:r w:rsidR="00E413A2" w:rsidRPr="003F612F">
        <w:rPr>
          <w:rFonts w:eastAsia="Times New Roman" w:cstheme="minorHAnsi"/>
          <w:bCs/>
          <w:lang w:val="es-AR"/>
        </w:rPr>
        <w:t xml:space="preserve"> sin fecha de vencimiento</w:t>
      </w:r>
      <w:r w:rsidR="00E413A2" w:rsidRPr="003F612F">
        <w:rPr>
          <w:rStyle w:val="Refdenotaalpie"/>
          <w:rFonts w:eastAsia="Times New Roman" w:cstheme="minorHAnsi"/>
          <w:bCs/>
          <w:lang w:val="es-AR"/>
        </w:rPr>
        <w:footnoteReference w:id="1"/>
      </w:r>
      <w:r w:rsidR="00E413A2" w:rsidRPr="003F612F">
        <w:rPr>
          <w:rFonts w:eastAsia="Times New Roman" w:cstheme="minorHAnsi"/>
          <w:bCs/>
          <w:lang w:val="es-AR"/>
        </w:rPr>
        <w:t xml:space="preserve">. </w:t>
      </w:r>
      <w:r w:rsidR="0063487C">
        <w:rPr>
          <w:rFonts w:eastAsia="Times New Roman" w:cstheme="minorHAnsi"/>
          <w:bCs/>
          <w:lang w:val="es-AR"/>
        </w:rPr>
        <w:t>El</w:t>
      </w:r>
      <w:r w:rsidR="00F363C6">
        <w:rPr>
          <w:rFonts w:eastAsia="Times New Roman" w:cstheme="minorHAnsi"/>
          <w:bCs/>
          <w:lang w:val="es-AR"/>
        </w:rPr>
        <w:t xml:space="preserve"> proyecto </w:t>
      </w:r>
      <w:r w:rsidR="0063487C">
        <w:rPr>
          <w:rFonts w:eastAsia="Times New Roman" w:cstheme="minorHAnsi"/>
          <w:bCs/>
          <w:lang w:val="es-AR"/>
        </w:rPr>
        <w:t>es contradictorio</w:t>
      </w:r>
      <w:r>
        <w:rPr>
          <w:rFonts w:eastAsia="Times New Roman" w:cstheme="minorHAnsi"/>
          <w:bCs/>
          <w:lang w:val="es-AR"/>
        </w:rPr>
        <w:t xml:space="preserve"> ya que</w:t>
      </w:r>
      <w:r w:rsidR="0063487C">
        <w:rPr>
          <w:rFonts w:eastAsia="Times New Roman" w:cstheme="minorHAnsi"/>
          <w:bCs/>
          <w:lang w:val="es-AR"/>
        </w:rPr>
        <w:t xml:space="preserve"> </w:t>
      </w:r>
      <w:r w:rsidR="00F363C6">
        <w:rPr>
          <w:rFonts w:eastAsia="Times New Roman" w:cstheme="minorHAnsi"/>
          <w:bCs/>
          <w:lang w:val="es-AR"/>
        </w:rPr>
        <w:t xml:space="preserve">asume la </w:t>
      </w:r>
      <w:r w:rsidR="00E413A2" w:rsidRPr="003F612F">
        <w:rPr>
          <w:rFonts w:eastAsia="Times New Roman" w:cstheme="minorHAnsi"/>
          <w:bCs/>
          <w:lang w:val="es-AR"/>
        </w:rPr>
        <w:t xml:space="preserve">discapacidad </w:t>
      </w:r>
      <w:r w:rsidR="00993A21">
        <w:rPr>
          <w:rFonts w:eastAsia="Times New Roman" w:cstheme="minorHAnsi"/>
          <w:bCs/>
          <w:lang w:val="es-AR"/>
        </w:rPr>
        <w:t>como</w:t>
      </w:r>
      <w:r w:rsidR="00993A21" w:rsidRPr="003F612F">
        <w:rPr>
          <w:rFonts w:eastAsia="Times New Roman" w:cstheme="minorHAnsi"/>
          <w:bCs/>
          <w:lang w:val="es-AR"/>
        </w:rPr>
        <w:t xml:space="preserve"> </w:t>
      </w:r>
      <w:r w:rsidR="00E413A2" w:rsidRPr="003F612F">
        <w:rPr>
          <w:rFonts w:eastAsia="Times New Roman" w:cstheme="minorHAnsi"/>
          <w:bCs/>
          <w:lang w:val="es-AR"/>
        </w:rPr>
        <w:t xml:space="preserve">un concepto dinámico, </w:t>
      </w:r>
      <w:r w:rsidR="0063487C">
        <w:rPr>
          <w:rFonts w:eastAsia="Times New Roman" w:cstheme="minorHAnsi"/>
          <w:bCs/>
          <w:lang w:val="es-AR"/>
        </w:rPr>
        <w:t xml:space="preserve">pero </w:t>
      </w:r>
      <w:r>
        <w:rPr>
          <w:rFonts w:eastAsia="Times New Roman" w:cstheme="minorHAnsi"/>
          <w:bCs/>
          <w:lang w:val="es-AR"/>
        </w:rPr>
        <w:t>p</w:t>
      </w:r>
      <w:r w:rsidR="00CC2C33">
        <w:rPr>
          <w:rFonts w:eastAsia="Times New Roman" w:cstheme="minorHAnsi"/>
          <w:bCs/>
          <w:lang w:val="es-AR"/>
        </w:rPr>
        <w:t>ermit</w:t>
      </w:r>
      <w:r w:rsidR="00624EA9">
        <w:rPr>
          <w:rFonts w:eastAsia="Times New Roman" w:cstheme="minorHAnsi"/>
          <w:bCs/>
          <w:lang w:val="es-AR"/>
        </w:rPr>
        <w:t>iría</w:t>
      </w:r>
      <w:r w:rsidR="00CC2C33">
        <w:rPr>
          <w:rFonts w:eastAsia="Times New Roman" w:cstheme="minorHAnsi"/>
          <w:bCs/>
          <w:lang w:val="es-AR"/>
        </w:rPr>
        <w:t xml:space="preserve"> </w:t>
      </w:r>
      <w:r w:rsidR="00E413A2" w:rsidRPr="003F612F">
        <w:rPr>
          <w:rFonts w:eastAsia="Times New Roman" w:cstheme="minorHAnsi"/>
          <w:bCs/>
          <w:lang w:val="es-AR"/>
        </w:rPr>
        <w:t>que el CUD pueda otorgarse de manera permanente</w:t>
      </w:r>
      <w:r w:rsidR="00624EA9">
        <w:rPr>
          <w:rFonts w:eastAsia="Times New Roman" w:cstheme="minorHAnsi"/>
          <w:bCs/>
          <w:lang w:val="es-AR"/>
        </w:rPr>
        <w:t>, contradiciendo lo mencionado por el Informe País</w:t>
      </w:r>
      <w:r>
        <w:rPr>
          <w:rStyle w:val="Refdenotaalpie"/>
          <w:rFonts w:eastAsia="Times New Roman" w:cstheme="minorHAnsi"/>
          <w:bCs/>
          <w:lang w:val="es-AR"/>
        </w:rPr>
        <w:footnoteReference w:id="2"/>
      </w:r>
      <w:r>
        <w:rPr>
          <w:rFonts w:eastAsia="Times New Roman" w:cstheme="minorHAnsi"/>
          <w:bCs/>
          <w:lang w:val="es-AR"/>
        </w:rPr>
        <w:t>.</w:t>
      </w:r>
      <w:r w:rsidR="00E413A2" w:rsidRPr="003F612F">
        <w:rPr>
          <w:rFonts w:eastAsia="Times New Roman" w:cstheme="minorHAnsi"/>
          <w:bCs/>
          <w:lang w:val="es-AR"/>
        </w:rPr>
        <w:t xml:space="preserve"> </w:t>
      </w:r>
      <w:r w:rsidR="0076564D" w:rsidRPr="003F612F">
        <w:rPr>
          <w:rFonts w:eastAsia="Times New Roman" w:cstheme="minorHAnsi"/>
          <w:bCs/>
          <w:lang w:val="es-AR"/>
        </w:rPr>
        <w:t>Un</w:t>
      </w:r>
      <w:r w:rsidR="00E413A2" w:rsidRPr="003F612F">
        <w:rPr>
          <w:rFonts w:eastAsia="Times New Roman" w:cstheme="minorHAnsi"/>
          <w:bCs/>
          <w:lang w:val="es-AR"/>
        </w:rPr>
        <w:t xml:space="preserve"> CUD permanente </w:t>
      </w:r>
      <w:r w:rsidR="00295B00">
        <w:rPr>
          <w:rFonts w:eastAsia="Times New Roman" w:cstheme="minorHAnsi"/>
          <w:bCs/>
          <w:lang w:val="es-AR"/>
        </w:rPr>
        <w:t>queda</w:t>
      </w:r>
      <w:r>
        <w:rPr>
          <w:rFonts w:eastAsia="Times New Roman" w:cstheme="minorHAnsi"/>
          <w:bCs/>
          <w:lang w:val="es-AR"/>
        </w:rPr>
        <w:t>ría</w:t>
      </w:r>
      <w:r w:rsidR="00E413A2" w:rsidRPr="003F612F">
        <w:rPr>
          <w:rFonts w:eastAsia="Times New Roman" w:cstheme="minorHAnsi"/>
          <w:bCs/>
          <w:lang w:val="es-AR"/>
        </w:rPr>
        <w:t xml:space="preserve"> desactualizado </w:t>
      </w:r>
      <w:r w:rsidR="00295B00">
        <w:rPr>
          <w:rFonts w:eastAsia="Times New Roman" w:cstheme="minorHAnsi"/>
          <w:bCs/>
          <w:lang w:val="es-AR"/>
        </w:rPr>
        <w:t xml:space="preserve">si </w:t>
      </w:r>
      <w:r w:rsidR="0076564D" w:rsidRPr="003F612F">
        <w:rPr>
          <w:rFonts w:eastAsia="Times New Roman" w:cstheme="minorHAnsi"/>
          <w:bCs/>
          <w:lang w:val="es-AR"/>
        </w:rPr>
        <w:t>la persona adquier</w:t>
      </w:r>
      <w:r w:rsidR="00295B00">
        <w:rPr>
          <w:rFonts w:eastAsia="Times New Roman" w:cstheme="minorHAnsi"/>
          <w:bCs/>
          <w:lang w:val="es-AR"/>
        </w:rPr>
        <w:t>e</w:t>
      </w:r>
      <w:r w:rsidR="0076564D" w:rsidRPr="003F612F">
        <w:rPr>
          <w:rFonts w:eastAsia="Times New Roman" w:cstheme="minorHAnsi"/>
          <w:bCs/>
          <w:lang w:val="es-AR"/>
        </w:rPr>
        <w:t xml:space="preserve"> otra discapacidad, </w:t>
      </w:r>
      <w:r w:rsidR="00E413A2" w:rsidRPr="003F612F">
        <w:rPr>
          <w:rFonts w:eastAsia="Times New Roman" w:cstheme="minorHAnsi"/>
          <w:bCs/>
          <w:lang w:val="es-AR"/>
        </w:rPr>
        <w:t xml:space="preserve">lo que hará </w:t>
      </w:r>
      <w:r w:rsidR="00931433">
        <w:rPr>
          <w:rFonts w:eastAsia="Times New Roman" w:cstheme="minorHAnsi"/>
          <w:bCs/>
          <w:lang w:val="es-AR"/>
        </w:rPr>
        <w:t xml:space="preserve">que </w:t>
      </w:r>
      <w:r w:rsidR="00E413A2" w:rsidRPr="003F612F">
        <w:rPr>
          <w:rFonts w:eastAsia="Times New Roman" w:cstheme="minorHAnsi"/>
          <w:bCs/>
          <w:lang w:val="es-AR"/>
        </w:rPr>
        <w:t>no pueda acceder a prestaciones por su nueva discapacidad</w:t>
      </w:r>
      <w:r w:rsidR="00517562" w:rsidRPr="003F612F">
        <w:rPr>
          <w:rFonts w:eastAsia="Times New Roman" w:cstheme="minorHAnsi"/>
          <w:bCs/>
          <w:lang w:val="es-AR"/>
        </w:rPr>
        <w:t xml:space="preserve">. </w:t>
      </w:r>
      <w:r w:rsidR="00932719">
        <w:rPr>
          <w:rFonts w:eastAsia="Times New Roman" w:cstheme="minorHAnsi"/>
          <w:bCs/>
          <w:lang w:val="es-AR"/>
        </w:rPr>
        <w:t xml:space="preserve">El </w:t>
      </w:r>
      <w:r w:rsidR="00B90EA2">
        <w:rPr>
          <w:rFonts w:eastAsia="Times New Roman" w:cstheme="minorHAnsi"/>
          <w:bCs/>
          <w:lang w:val="es-AR"/>
        </w:rPr>
        <w:t>p</w:t>
      </w:r>
      <w:r w:rsidR="00932719">
        <w:rPr>
          <w:rFonts w:eastAsia="Times New Roman" w:cstheme="minorHAnsi"/>
          <w:bCs/>
          <w:lang w:val="es-AR"/>
        </w:rPr>
        <w:t xml:space="preserve">royecto </w:t>
      </w:r>
      <w:r w:rsidR="00D0181F">
        <w:rPr>
          <w:rFonts w:eastAsia="Times New Roman" w:cstheme="minorHAnsi"/>
          <w:bCs/>
          <w:lang w:val="es-AR"/>
        </w:rPr>
        <w:t xml:space="preserve">no resuelve el temor </w:t>
      </w:r>
      <w:r w:rsidR="0032191F">
        <w:rPr>
          <w:rFonts w:eastAsia="Times New Roman" w:cstheme="minorHAnsi"/>
          <w:bCs/>
          <w:lang w:val="es-AR"/>
        </w:rPr>
        <w:t xml:space="preserve">de que </w:t>
      </w:r>
      <w:r w:rsidR="00483E1F">
        <w:rPr>
          <w:rFonts w:eastAsia="Times New Roman" w:cstheme="minorHAnsi"/>
          <w:bCs/>
          <w:lang w:val="es-AR"/>
        </w:rPr>
        <w:t>a futuro pueda</w:t>
      </w:r>
      <w:r w:rsidR="0032191F">
        <w:rPr>
          <w:rFonts w:eastAsia="Times New Roman" w:cstheme="minorHAnsi"/>
          <w:bCs/>
          <w:lang w:val="es-AR"/>
        </w:rPr>
        <w:t xml:space="preserve"> </w:t>
      </w:r>
      <w:r w:rsidR="00483E1F">
        <w:rPr>
          <w:rFonts w:eastAsia="Times New Roman" w:cstheme="minorHAnsi"/>
          <w:bCs/>
          <w:lang w:val="es-AR"/>
        </w:rPr>
        <w:t xml:space="preserve">llegar a </w:t>
      </w:r>
      <w:r w:rsidR="005028B9">
        <w:rPr>
          <w:rFonts w:eastAsia="Times New Roman" w:cstheme="minorHAnsi"/>
          <w:bCs/>
          <w:lang w:val="es-AR"/>
        </w:rPr>
        <w:t xml:space="preserve">impedirse la </w:t>
      </w:r>
      <w:r w:rsidR="005028B9" w:rsidRPr="000859B1">
        <w:rPr>
          <w:rFonts w:eastAsia="Times New Roman" w:cstheme="minorHAnsi"/>
          <w:bCs/>
          <w:lang w:val="es-AR"/>
        </w:rPr>
        <w:t xml:space="preserve">solicitud de </w:t>
      </w:r>
      <w:r w:rsidR="0032191F" w:rsidRPr="000859B1">
        <w:rPr>
          <w:rFonts w:eastAsia="Times New Roman" w:cstheme="minorHAnsi"/>
          <w:bCs/>
          <w:lang w:val="es-AR"/>
        </w:rPr>
        <w:t xml:space="preserve">una actualización. </w:t>
      </w:r>
      <w:r w:rsidR="004C4972" w:rsidRPr="000859B1">
        <w:rPr>
          <w:rFonts w:eastAsia="Times New Roman" w:cstheme="minorHAnsi"/>
          <w:bCs/>
          <w:lang w:val="es-AR"/>
        </w:rPr>
        <w:t xml:space="preserve"> </w:t>
      </w:r>
      <w:r w:rsidR="005C1B3D" w:rsidRPr="000859B1">
        <w:rPr>
          <w:rFonts w:eastAsia="Times New Roman" w:cstheme="minorHAnsi"/>
          <w:bCs/>
          <w:lang w:val="es-AR"/>
        </w:rPr>
        <w:t xml:space="preserve">Asimismo, </w:t>
      </w:r>
      <w:r w:rsidR="000859B1" w:rsidRPr="000859B1">
        <w:rPr>
          <w:rFonts w:eastAsia="Times New Roman" w:cstheme="minorHAnsi"/>
          <w:bCs/>
          <w:lang w:val="es-AR"/>
        </w:rPr>
        <w:t>al ser</w:t>
      </w:r>
      <w:r w:rsidR="001600BF" w:rsidRPr="000859B1">
        <w:rPr>
          <w:rFonts w:eastAsia="Times New Roman" w:cstheme="minorHAnsi"/>
          <w:bCs/>
          <w:lang w:val="es-AR"/>
        </w:rPr>
        <w:t xml:space="preserve"> la </w:t>
      </w:r>
      <w:r w:rsidR="005C1B3D" w:rsidRPr="000859B1">
        <w:rPr>
          <w:rFonts w:eastAsia="Times New Roman" w:cstheme="minorHAnsi"/>
          <w:bCs/>
          <w:lang w:val="es-AR"/>
        </w:rPr>
        <w:t>renovación de los CUD</w:t>
      </w:r>
      <w:r w:rsidR="00483E1F" w:rsidRPr="000859B1">
        <w:rPr>
          <w:rFonts w:eastAsia="Times New Roman" w:cstheme="minorHAnsi"/>
          <w:bCs/>
          <w:lang w:val="es-AR"/>
        </w:rPr>
        <w:t>,</w:t>
      </w:r>
      <w:r w:rsidR="0032191F" w:rsidRPr="000859B1">
        <w:rPr>
          <w:rFonts w:eastAsia="Times New Roman" w:cstheme="minorHAnsi"/>
          <w:bCs/>
          <w:lang w:val="es-AR"/>
        </w:rPr>
        <w:t xml:space="preserve"> </w:t>
      </w:r>
      <w:r w:rsidR="005C1B3D" w:rsidRPr="000859B1">
        <w:rPr>
          <w:rFonts w:eastAsia="Times New Roman" w:cstheme="minorHAnsi"/>
          <w:bCs/>
          <w:lang w:val="es-AR"/>
        </w:rPr>
        <w:t>actualmente</w:t>
      </w:r>
      <w:r w:rsidR="00483E1F" w:rsidRPr="000859B1">
        <w:rPr>
          <w:rFonts w:eastAsia="Times New Roman" w:cstheme="minorHAnsi"/>
          <w:bCs/>
          <w:lang w:val="es-AR"/>
        </w:rPr>
        <w:t>,</w:t>
      </w:r>
      <w:r w:rsidR="005C1B3D" w:rsidRPr="000859B1">
        <w:rPr>
          <w:rFonts w:eastAsia="Times New Roman" w:cstheme="minorHAnsi"/>
          <w:bCs/>
          <w:lang w:val="es-AR"/>
        </w:rPr>
        <w:t xml:space="preserve"> </w:t>
      </w:r>
      <w:r w:rsidR="001600BF" w:rsidRPr="000859B1">
        <w:rPr>
          <w:rFonts w:eastAsia="Times New Roman" w:cstheme="minorHAnsi"/>
          <w:bCs/>
          <w:lang w:val="es-AR"/>
        </w:rPr>
        <w:t xml:space="preserve">el único mecanismo </w:t>
      </w:r>
      <w:r w:rsidR="005C1B3D" w:rsidRPr="000859B1">
        <w:rPr>
          <w:rFonts w:eastAsia="Times New Roman" w:cstheme="minorHAnsi"/>
          <w:bCs/>
          <w:lang w:val="es-AR"/>
        </w:rPr>
        <w:t xml:space="preserve">que tiene el Estado de recopilar </w:t>
      </w:r>
      <w:r w:rsidR="005C1B3D" w:rsidRPr="003F612F">
        <w:rPr>
          <w:rFonts w:eastAsia="Times New Roman" w:cstheme="minorHAnsi"/>
          <w:bCs/>
          <w:lang w:val="es-AR"/>
        </w:rPr>
        <w:t>información sobre la situación social de las PCD</w:t>
      </w:r>
      <w:r w:rsidR="00D3026D">
        <w:rPr>
          <w:rFonts w:eastAsia="Times New Roman" w:cstheme="minorHAnsi"/>
          <w:bCs/>
          <w:lang w:val="es-AR"/>
        </w:rPr>
        <w:t xml:space="preserve">, </w:t>
      </w:r>
      <w:r w:rsidR="000859B1">
        <w:rPr>
          <w:rFonts w:eastAsia="Times New Roman" w:cstheme="minorHAnsi"/>
          <w:bCs/>
          <w:lang w:val="es-AR"/>
        </w:rPr>
        <w:t xml:space="preserve">la aprobación del </w:t>
      </w:r>
      <w:r w:rsidR="00D3026D" w:rsidRPr="00403154">
        <w:rPr>
          <w:rFonts w:eastAsia="Times New Roman" w:cstheme="minorHAnsi"/>
          <w:bCs/>
          <w:lang w:val="es-AR"/>
        </w:rPr>
        <w:t>proyecto dañaría las</w:t>
      </w:r>
      <w:r w:rsidR="005C1B3D" w:rsidRPr="00403154">
        <w:rPr>
          <w:rFonts w:eastAsia="Times New Roman" w:cstheme="minorHAnsi"/>
          <w:bCs/>
          <w:lang w:val="es-AR"/>
        </w:rPr>
        <w:t xml:space="preserve"> estadísticas</w:t>
      </w:r>
      <w:r w:rsidR="000859B1" w:rsidRPr="00403154">
        <w:rPr>
          <w:rFonts w:eastAsia="Times New Roman" w:cstheme="minorHAnsi"/>
          <w:bCs/>
          <w:lang w:val="es-AR"/>
        </w:rPr>
        <w:t xml:space="preserve"> públicas.</w:t>
      </w:r>
      <w:r w:rsidR="000C0D42" w:rsidRPr="00403154">
        <w:rPr>
          <w:rStyle w:val="Refdenotaalpie"/>
          <w:rFonts w:eastAsia="Times New Roman" w:cstheme="minorHAnsi"/>
          <w:bCs/>
          <w:lang w:val="es-AR"/>
        </w:rPr>
        <w:footnoteReference w:id="3"/>
      </w:r>
      <w:r w:rsidR="005C1B3D" w:rsidRPr="00403154">
        <w:rPr>
          <w:rFonts w:eastAsia="Times New Roman" w:cstheme="minorHAnsi"/>
          <w:bCs/>
          <w:lang w:val="es-AR"/>
        </w:rPr>
        <w:t xml:space="preserve">. </w:t>
      </w:r>
    </w:p>
    <w:p w14:paraId="7EAC07CD" w14:textId="313D81F0" w:rsidR="00E413A2" w:rsidRDefault="00832994" w:rsidP="00762BF9">
      <w:pPr>
        <w:spacing w:before="240" w:after="240" w:line="276" w:lineRule="auto"/>
        <w:ind w:firstLine="720"/>
        <w:jc w:val="both"/>
        <w:rPr>
          <w:rFonts w:cstheme="minorHAnsi"/>
          <w:lang w:val="es-AR"/>
        </w:rPr>
      </w:pPr>
      <w:r w:rsidRPr="00403154">
        <w:rPr>
          <w:rFonts w:cstheme="minorHAnsi"/>
          <w:lang w:val="es-AR"/>
        </w:rPr>
        <w:t>Respecto al derecho a la participación de las PCD, e</w:t>
      </w:r>
      <w:r w:rsidR="00E413A2" w:rsidRPr="00403154">
        <w:rPr>
          <w:rFonts w:cstheme="minorHAnsi"/>
          <w:lang w:val="es-AR"/>
        </w:rPr>
        <w:t>xisten diversos mecanismos formales de participación y consulta en los distintos niveles de</w:t>
      </w:r>
      <w:r w:rsidR="00723D9F" w:rsidRPr="00403154">
        <w:rPr>
          <w:rFonts w:cstheme="minorHAnsi"/>
          <w:lang w:val="es-AR"/>
        </w:rPr>
        <w:t>l</w:t>
      </w:r>
      <w:r w:rsidR="00E413A2" w:rsidRPr="00403154">
        <w:rPr>
          <w:rFonts w:cstheme="minorHAnsi"/>
          <w:lang w:val="es-AR"/>
        </w:rPr>
        <w:t xml:space="preserve"> Estado (</w:t>
      </w:r>
      <w:r w:rsidR="00AC49B1" w:rsidRPr="00403154">
        <w:rPr>
          <w:rFonts w:cstheme="minorHAnsi"/>
          <w:lang w:val="es-AR"/>
        </w:rPr>
        <w:t>n</w:t>
      </w:r>
      <w:r w:rsidR="00E413A2" w:rsidRPr="00403154">
        <w:rPr>
          <w:rFonts w:cstheme="minorHAnsi"/>
          <w:lang w:val="es-AR"/>
        </w:rPr>
        <w:t xml:space="preserve">acional, </w:t>
      </w:r>
      <w:r w:rsidR="00AC49B1" w:rsidRPr="00403154">
        <w:rPr>
          <w:rFonts w:cstheme="minorHAnsi"/>
          <w:lang w:val="es-AR"/>
        </w:rPr>
        <w:t>p</w:t>
      </w:r>
      <w:r w:rsidR="00E413A2" w:rsidRPr="00403154">
        <w:rPr>
          <w:rFonts w:cstheme="minorHAnsi"/>
          <w:lang w:val="es-AR"/>
        </w:rPr>
        <w:t xml:space="preserve">rovinciales y en muchos casos </w:t>
      </w:r>
      <w:r w:rsidR="00AC49B1" w:rsidRPr="00403154">
        <w:rPr>
          <w:rFonts w:cstheme="minorHAnsi"/>
          <w:lang w:val="es-AR"/>
        </w:rPr>
        <w:t>l</w:t>
      </w:r>
      <w:r w:rsidR="00E413A2" w:rsidRPr="00403154">
        <w:rPr>
          <w:rFonts w:cstheme="minorHAnsi"/>
          <w:lang w:val="es-AR"/>
        </w:rPr>
        <w:t>ocales).  A nivel nacional</w:t>
      </w:r>
      <w:r w:rsidR="00AC49B1" w:rsidRPr="00403154">
        <w:rPr>
          <w:rFonts w:cstheme="minorHAnsi"/>
          <w:lang w:val="es-AR"/>
        </w:rPr>
        <w:t xml:space="preserve">, señalamos el </w:t>
      </w:r>
      <w:hyperlink r:id="rId10">
        <w:r w:rsidR="00E413A2" w:rsidRPr="00197ACF">
          <w:rPr>
            <w:rFonts w:cstheme="minorHAnsi"/>
            <w:u w:val="single"/>
            <w:lang w:val="es-AR"/>
          </w:rPr>
          <w:t xml:space="preserve">Comité Asesor de </w:t>
        </w:r>
        <w:proofErr w:type="spellStart"/>
        <w:r w:rsidR="00E413A2" w:rsidRPr="00197ACF">
          <w:rPr>
            <w:rFonts w:cstheme="minorHAnsi"/>
            <w:u w:val="single"/>
            <w:lang w:val="es-AR"/>
          </w:rPr>
          <w:t>Andis</w:t>
        </w:r>
        <w:proofErr w:type="spellEnd"/>
      </w:hyperlink>
      <w:r w:rsidR="00E413A2" w:rsidRPr="00403154">
        <w:rPr>
          <w:rFonts w:cstheme="minorHAnsi"/>
          <w:vertAlign w:val="superscript"/>
          <w:lang w:val="es-AR"/>
        </w:rPr>
        <w:footnoteReference w:id="4"/>
      </w:r>
      <w:r w:rsidR="00E413A2" w:rsidRPr="00403154">
        <w:rPr>
          <w:rFonts w:cstheme="minorHAnsi"/>
          <w:lang w:val="es-AR"/>
        </w:rPr>
        <w:t xml:space="preserve">, el </w:t>
      </w:r>
      <w:hyperlink r:id="rId11">
        <w:r w:rsidR="00E413A2" w:rsidRPr="00197ACF">
          <w:rPr>
            <w:rFonts w:cstheme="minorHAnsi"/>
            <w:u w:val="single"/>
            <w:lang w:val="es-AR"/>
          </w:rPr>
          <w:t>Directorio del Sistema de Prestaciones</w:t>
        </w:r>
      </w:hyperlink>
      <w:r w:rsidR="00E413A2" w:rsidRPr="00403154">
        <w:rPr>
          <w:rFonts w:cstheme="minorHAnsi"/>
          <w:vertAlign w:val="superscript"/>
          <w:lang w:val="es-AR"/>
        </w:rPr>
        <w:footnoteReference w:id="5"/>
      </w:r>
      <w:r w:rsidR="00AC49B1" w:rsidRPr="00403154">
        <w:rPr>
          <w:rFonts w:cstheme="minorHAnsi"/>
          <w:lang w:val="es-AR"/>
        </w:rPr>
        <w:t xml:space="preserve"> y</w:t>
      </w:r>
      <w:r w:rsidR="00E413A2" w:rsidRPr="00403154">
        <w:rPr>
          <w:rFonts w:cstheme="minorHAnsi"/>
          <w:lang w:val="es-AR"/>
        </w:rPr>
        <w:t xml:space="preserve"> la participación de las </w:t>
      </w:r>
      <w:r w:rsidR="0030559F" w:rsidRPr="00403154">
        <w:rPr>
          <w:rFonts w:cstheme="minorHAnsi"/>
          <w:lang w:val="es-AR"/>
        </w:rPr>
        <w:t>organizaciones</w:t>
      </w:r>
      <w:r w:rsidR="00E413A2" w:rsidRPr="00403154">
        <w:rPr>
          <w:rFonts w:cstheme="minorHAnsi"/>
          <w:lang w:val="es-AR"/>
        </w:rPr>
        <w:t xml:space="preserve"> en el </w:t>
      </w:r>
      <w:hyperlink r:id="rId12">
        <w:r w:rsidR="00E413A2" w:rsidRPr="00197ACF">
          <w:rPr>
            <w:rFonts w:cstheme="minorHAnsi"/>
            <w:u w:val="single"/>
            <w:lang w:val="es-AR"/>
          </w:rPr>
          <w:t>Consejo Federal de Discapacidad</w:t>
        </w:r>
      </w:hyperlink>
      <w:r w:rsidR="00E413A2" w:rsidRPr="00403154">
        <w:rPr>
          <w:rFonts w:cstheme="minorHAnsi"/>
          <w:vertAlign w:val="superscript"/>
          <w:lang w:val="es-AR"/>
        </w:rPr>
        <w:footnoteReference w:id="6"/>
      </w:r>
      <w:r w:rsidR="0030559F" w:rsidRPr="00403154">
        <w:rPr>
          <w:rFonts w:cstheme="minorHAnsi"/>
          <w:lang w:val="es-AR"/>
        </w:rPr>
        <w:t xml:space="preserve"> y</w:t>
      </w:r>
      <w:r w:rsidR="00E413A2" w:rsidRPr="00403154">
        <w:rPr>
          <w:rFonts w:cstheme="minorHAnsi"/>
          <w:lang w:val="es-AR"/>
        </w:rPr>
        <w:t xml:space="preserve"> el </w:t>
      </w:r>
      <w:hyperlink r:id="rId13">
        <w:r w:rsidR="00E413A2" w:rsidRPr="00762FEE">
          <w:rPr>
            <w:rFonts w:cstheme="minorHAnsi"/>
            <w:color w:val="1155CC"/>
            <w:u w:val="single"/>
            <w:lang w:val="es-AR"/>
          </w:rPr>
          <w:t>Observatorio de la Discapacidad</w:t>
        </w:r>
      </w:hyperlink>
      <w:r w:rsidR="00E413A2" w:rsidRPr="00403154">
        <w:rPr>
          <w:rFonts w:cstheme="minorHAnsi"/>
          <w:vertAlign w:val="superscript"/>
          <w:lang w:val="es-AR"/>
        </w:rPr>
        <w:footnoteReference w:id="7"/>
      </w:r>
      <w:r w:rsidR="00E413A2" w:rsidRPr="00403154">
        <w:rPr>
          <w:rFonts w:cstheme="minorHAnsi"/>
          <w:lang w:val="es-AR"/>
        </w:rPr>
        <w:t>.</w:t>
      </w:r>
      <w:r w:rsidR="00C92FDE" w:rsidRPr="00403154">
        <w:rPr>
          <w:rFonts w:cstheme="minorHAnsi"/>
          <w:lang w:val="es-AR"/>
        </w:rPr>
        <w:t xml:space="preserve"> </w:t>
      </w:r>
      <w:r w:rsidR="00E413A2" w:rsidRPr="00403154">
        <w:rPr>
          <w:rFonts w:cstheme="minorHAnsi"/>
          <w:lang w:val="es-AR"/>
        </w:rPr>
        <w:t>Sin embargo,</w:t>
      </w:r>
      <w:r w:rsidR="0030559F" w:rsidRPr="00403154">
        <w:rPr>
          <w:rFonts w:cstheme="minorHAnsi"/>
          <w:lang w:val="es-AR"/>
        </w:rPr>
        <w:t xml:space="preserve"> </w:t>
      </w:r>
      <w:r w:rsidR="00E413A2" w:rsidRPr="00403154">
        <w:rPr>
          <w:rFonts w:cstheme="minorHAnsi"/>
          <w:lang w:val="es-AR"/>
        </w:rPr>
        <w:t>las personas integrantes de estos organismos suelen ser elegidas sin criterios claros en lo que refiere a su convocatoria, elección y rotación. En particular</w:t>
      </w:r>
      <w:r w:rsidR="00AC49B1" w:rsidRPr="00403154">
        <w:rPr>
          <w:rFonts w:cstheme="minorHAnsi"/>
          <w:lang w:val="es-AR"/>
        </w:rPr>
        <w:t>,</w:t>
      </w:r>
      <w:r w:rsidR="00E413A2" w:rsidRPr="00403154">
        <w:rPr>
          <w:rFonts w:cstheme="minorHAnsi"/>
          <w:lang w:val="es-AR"/>
        </w:rPr>
        <w:t xml:space="preserve"> sus integrantes en general no son PCD, por lo cual se las sustituyen en el derecho a la participación política.</w:t>
      </w:r>
      <w:r w:rsidR="005A7A91" w:rsidRPr="00403154">
        <w:rPr>
          <w:rFonts w:cstheme="minorHAnsi"/>
          <w:lang w:val="es-AR"/>
        </w:rPr>
        <w:t xml:space="preserve"> Tal es el caso del </w:t>
      </w:r>
      <w:r w:rsidR="00E413A2" w:rsidRPr="00403154">
        <w:rPr>
          <w:rFonts w:cstheme="minorHAnsi"/>
          <w:lang w:val="es-AR"/>
        </w:rPr>
        <w:t>Directorio del Sistema de Prestaciones</w:t>
      </w:r>
      <w:r w:rsidR="005A7A91" w:rsidRPr="00403154">
        <w:rPr>
          <w:rFonts w:cstheme="minorHAnsi"/>
          <w:lang w:val="es-AR"/>
        </w:rPr>
        <w:t xml:space="preserve">, </w:t>
      </w:r>
      <w:r w:rsidR="00E413A2" w:rsidRPr="00403154">
        <w:rPr>
          <w:rFonts w:cstheme="minorHAnsi"/>
          <w:lang w:val="es-AR"/>
        </w:rPr>
        <w:t xml:space="preserve">conformado de manera permanente y sin cambios desde hace años por organizaciones “para” </w:t>
      </w:r>
      <w:r w:rsidR="005A7A91" w:rsidRPr="00403154">
        <w:rPr>
          <w:rFonts w:cstheme="minorHAnsi"/>
          <w:lang w:val="es-AR"/>
        </w:rPr>
        <w:t>PCD</w:t>
      </w:r>
      <w:r w:rsidR="00E413A2" w:rsidRPr="00403154">
        <w:rPr>
          <w:rFonts w:cstheme="minorHAnsi"/>
          <w:lang w:val="es-AR"/>
        </w:rPr>
        <w:t>.  Desde su conformación, no hay criterios de evaluación de servicios basados en el Modelo Social y no hay participación de las PCD en los procesos de habilitación y evaluación de estos servicios</w:t>
      </w:r>
      <w:r w:rsidR="00E413A2" w:rsidRPr="00403154">
        <w:rPr>
          <w:rFonts w:cstheme="minorHAnsi"/>
          <w:vertAlign w:val="superscript"/>
          <w:lang w:val="es-AR"/>
        </w:rPr>
        <w:footnoteReference w:id="8"/>
      </w:r>
      <w:r w:rsidR="00E413A2" w:rsidRPr="00403154">
        <w:rPr>
          <w:rFonts w:cstheme="minorHAnsi"/>
          <w:lang w:val="es-AR"/>
        </w:rPr>
        <w:t>.</w:t>
      </w:r>
    </w:p>
    <w:p w14:paraId="7DD3F35F" w14:textId="729DD3EC" w:rsidR="005214ED" w:rsidRPr="00403154" w:rsidRDefault="003B6FDB" w:rsidP="00762BF9">
      <w:pPr>
        <w:spacing w:before="240" w:after="240" w:line="276" w:lineRule="auto"/>
        <w:ind w:firstLine="720"/>
        <w:jc w:val="both"/>
        <w:rPr>
          <w:rFonts w:cstheme="minorHAnsi"/>
          <w:lang w:val="es-AR"/>
        </w:rPr>
      </w:pPr>
      <w:r>
        <w:rPr>
          <w:rFonts w:cstheme="minorHAnsi"/>
          <w:lang w:val="es-AR"/>
        </w:rPr>
        <w:t>Con la creación del</w:t>
      </w:r>
      <w:r w:rsidR="000534F4">
        <w:rPr>
          <w:rFonts w:cstheme="minorHAnsi"/>
          <w:lang w:val="es-AR"/>
        </w:rPr>
        <w:t xml:space="preserve"> Consejo de Articulación de Programas para PCD del FONADIS</w:t>
      </w:r>
      <w:r w:rsidR="00DC23A6">
        <w:rPr>
          <w:rStyle w:val="Refdenotaalpie"/>
          <w:rFonts w:cstheme="minorHAnsi"/>
          <w:lang w:val="es-AR"/>
        </w:rPr>
        <w:footnoteReference w:id="9"/>
      </w:r>
      <w:r w:rsidR="000534F4">
        <w:rPr>
          <w:rFonts w:cstheme="minorHAnsi"/>
          <w:lang w:val="es-AR"/>
        </w:rPr>
        <w:t xml:space="preserve"> </w:t>
      </w:r>
      <w:r w:rsidR="00EC7135">
        <w:rPr>
          <w:rFonts w:cstheme="minorHAnsi"/>
          <w:lang w:val="es-AR"/>
        </w:rPr>
        <w:t>disminuyó el número de representantes de las OPD</w:t>
      </w:r>
      <w:r w:rsidR="0015169D">
        <w:rPr>
          <w:rFonts w:cstheme="minorHAnsi"/>
          <w:lang w:val="es-AR"/>
        </w:rPr>
        <w:t>. Asimismo, incorporó</w:t>
      </w:r>
      <w:r w:rsidR="00323BD6">
        <w:rPr>
          <w:rFonts w:cstheme="minorHAnsi"/>
          <w:lang w:val="es-AR"/>
        </w:rPr>
        <w:t xml:space="preserve"> una perspectiva endogámica </w:t>
      </w:r>
      <w:r w:rsidR="00E674D1">
        <w:rPr>
          <w:rFonts w:cstheme="minorHAnsi"/>
          <w:lang w:val="es-AR"/>
        </w:rPr>
        <w:t xml:space="preserve">al no atender la participación de otras áreas públicas que pudieran </w:t>
      </w:r>
      <w:r w:rsidR="00DC23A6">
        <w:rPr>
          <w:rFonts w:cstheme="minorHAnsi"/>
          <w:lang w:val="es-AR"/>
        </w:rPr>
        <w:t xml:space="preserve">contribuir a que el Fondo se constituya como herramienta para la </w:t>
      </w:r>
      <w:proofErr w:type="spellStart"/>
      <w:r w:rsidR="00DC23A6">
        <w:rPr>
          <w:rFonts w:cstheme="minorHAnsi"/>
          <w:lang w:val="es-AR"/>
        </w:rPr>
        <w:t>transversalización</w:t>
      </w:r>
      <w:proofErr w:type="spellEnd"/>
      <w:r w:rsidR="00DC23A6">
        <w:rPr>
          <w:rFonts w:cstheme="minorHAnsi"/>
          <w:lang w:val="es-AR"/>
        </w:rPr>
        <w:t xml:space="preserve"> de la discapacidad.</w:t>
      </w:r>
      <w:r w:rsidR="005805E6">
        <w:rPr>
          <w:rFonts w:cstheme="minorHAnsi"/>
          <w:lang w:val="es-AR"/>
        </w:rPr>
        <w:t xml:space="preserve"> Anteriormente este espacio contaba con la participación de otros Ministerios </w:t>
      </w:r>
      <w:r w:rsidR="006A0CE3">
        <w:rPr>
          <w:rFonts w:cstheme="minorHAnsi"/>
          <w:lang w:val="es-AR"/>
        </w:rPr>
        <w:t>con competencia en discapacidad.</w:t>
      </w:r>
    </w:p>
    <w:p w14:paraId="7AFDDDBE" w14:textId="57A5BDE9" w:rsidR="00C92FDE" w:rsidRDefault="00403154" w:rsidP="00762BF9">
      <w:pPr>
        <w:spacing w:after="240" w:line="276" w:lineRule="auto"/>
        <w:ind w:firstLine="720"/>
        <w:jc w:val="both"/>
        <w:rPr>
          <w:rFonts w:eastAsia="Times New Roman" w:cstheme="minorHAnsi"/>
          <w:lang w:val="es-AR"/>
        </w:rPr>
      </w:pPr>
      <w:r w:rsidRPr="00197ACF">
        <w:rPr>
          <w:rFonts w:ascii="Calibri" w:hAnsi="Calibri" w:cs="Calibri"/>
          <w:shd w:val="clear" w:color="auto" w:fill="FFFFFF"/>
        </w:rPr>
        <w:lastRenderedPageBreak/>
        <w:t>Además, se creó el</w:t>
      </w:r>
      <w:r w:rsidR="00137AE2" w:rsidRPr="00197ACF">
        <w:rPr>
          <w:rFonts w:ascii="Calibri" w:hAnsi="Calibri" w:cs="Calibri"/>
          <w:shd w:val="clear" w:color="auto" w:fill="FFFFFF"/>
        </w:rPr>
        <w:t xml:space="preserve"> Gabinete </w:t>
      </w:r>
      <w:r w:rsidR="00584437">
        <w:rPr>
          <w:rFonts w:ascii="Calibri" w:hAnsi="Calibri" w:cs="Calibri"/>
          <w:shd w:val="clear" w:color="auto" w:fill="FFFFFF"/>
        </w:rPr>
        <w:t xml:space="preserve">Nacional para la </w:t>
      </w:r>
      <w:proofErr w:type="spellStart"/>
      <w:r w:rsidR="00584437">
        <w:rPr>
          <w:rFonts w:ascii="Calibri" w:hAnsi="Calibri" w:cs="Calibri"/>
          <w:shd w:val="clear" w:color="auto" w:fill="FFFFFF"/>
        </w:rPr>
        <w:t>transversalización</w:t>
      </w:r>
      <w:proofErr w:type="spellEnd"/>
      <w:r w:rsidR="00584437">
        <w:rPr>
          <w:rFonts w:ascii="Calibri" w:hAnsi="Calibri" w:cs="Calibri"/>
          <w:shd w:val="clear" w:color="auto" w:fill="FFFFFF"/>
        </w:rPr>
        <w:t xml:space="preserve"> </w:t>
      </w:r>
      <w:r w:rsidR="00FD3B2C">
        <w:rPr>
          <w:rFonts w:ascii="Calibri" w:hAnsi="Calibri" w:cs="Calibri"/>
          <w:shd w:val="clear" w:color="auto" w:fill="FFFFFF"/>
        </w:rPr>
        <w:t>de las políticas en discapacidad</w:t>
      </w:r>
      <w:r w:rsidR="00F166D9">
        <w:rPr>
          <w:rStyle w:val="Refdenotaalpie"/>
          <w:rFonts w:ascii="Calibri" w:hAnsi="Calibri" w:cs="Calibri"/>
          <w:shd w:val="clear" w:color="auto" w:fill="FFFFFF"/>
        </w:rPr>
        <w:footnoteReference w:id="10"/>
      </w:r>
      <w:r w:rsidR="00FD3B2C">
        <w:rPr>
          <w:rFonts w:ascii="Calibri" w:hAnsi="Calibri" w:cs="Calibri"/>
          <w:shd w:val="clear" w:color="auto" w:fill="FFFFFF"/>
        </w:rPr>
        <w:t xml:space="preserve"> bajo</w:t>
      </w:r>
      <w:r w:rsidR="00137AE2" w:rsidRPr="00197ACF">
        <w:rPr>
          <w:rFonts w:ascii="Calibri" w:hAnsi="Calibri" w:cs="Calibri"/>
          <w:shd w:val="clear" w:color="auto" w:fill="FFFFFF"/>
        </w:rPr>
        <w:t xml:space="preserve"> la órbita de la Jefatura de Gabinete de </w:t>
      </w:r>
      <w:r w:rsidR="000A1DA5">
        <w:rPr>
          <w:rFonts w:ascii="Calibri" w:hAnsi="Calibri" w:cs="Calibri"/>
          <w:shd w:val="clear" w:color="auto" w:fill="FFFFFF"/>
        </w:rPr>
        <w:t>Ministros,</w:t>
      </w:r>
      <w:r w:rsidR="000A1DA5" w:rsidRPr="00197ACF">
        <w:rPr>
          <w:rFonts w:ascii="Calibri" w:hAnsi="Calibri" w:cs="Calibri"/>
          <w:shd w:val="clear" w:color="auto" w:fill="FFFFFF"/>
        </w:rPr>
        <w:t xml:space="preserve"> </w:t>
      </w:r>
      <w:r w:rsidR="00137AE2" w:rsidRPr="00197ACF">
        <w:rPr>
          <w:rFonts w:ascii="Calibri" w:hAnsi="Calibri" w:cs="Calibri"/>
          <w:shd w:val="clear" w:color="auto" w:fill="FFFFFF"/>
        </w:rPr>
        <w:t xml:space="preserve">sin embargo, las OPD no cuentan con ninguna información pública sobre los planes y avances </w:t>
      </w:r>
      <w:r w:rsidRPr="00197ACF">
        <w:rPr>
          <w:rFonts w:ascii="Calibri" w:hAnsi="Calibri" w:cs="Calibri"/>
          <w:shd w:val="clear" w:color="auto" w:fill="FFFFFF"/>
        </w:rPr>
        <w:t>que produjo.</w:t>
      </w:r>
    </w:p>
    <w:p w14:paraId="263ED97A" w14:textId="19D77DB2" w:rsidR="00E413A2" w:rsidRPr="003F612F" w:rsidRDefault="00E413A2" w:rsidP="00762BF9">
      <w:pPr>
        <w:spacing w:after="240" w:line="276" w:lineRule="auto"/>
        <w:ind w:firstLine="720"/>
        <w:jc w:val="both"/>
        <w:rPr>
          <w:rFonts w:cstheme="minorHAnsi"/>
          <w:lang w:val="es-AR"/>
        </w:rPr>
      </w:pPr>
      <w:r w:rsidRPr="003F612F">
        <w:rPr>
          <w:rFonts w:eastAsia="Times New Roman" w:cstheme="minorHAnsi"/>
          <w:lang w:val="es-AR"/>
        </w:rPr>
        <w:t>A nivel provincial, observamos las mismas barreras para la participación de las PCD. Por ejemplo, en Córdoba, los espacios son la Comisión Provincial del Discapacitado (</w:t>
      </w:r>
      <w:hyperlink r:id="rId14">
        <w:r w:rsidRPr="003F612F">
          <w:rPr>
            <w:rFonts w:eastAsia="Times New Roman" w:cstheme="minorHAnsi"/>
            <w:color w:val="1155CC"/>
            <w:u w:val="single"/>
            <w:lang w:val="es-AR"/>
          </w:rPr>
          <w:t>Ley Provincial 8624</w:t>
        </w:r>
      </w:hyperlink>
      <w:r w:rsidRPr="003F612F">
        <w:rPr>
          <w:rFonts w:eastAsia="Times New Roman" w:cstheme="minorHAnsi"/>
          <w:color w:val="1155CC"/>
          <w:u w:val="single"/>
          <w:lang w:val="es-AR"/>
        </w:rPr>
        <w:t>)</w:t>
      </w:r>
      <w:r w:rsidRPr="003F612F">
        <w:rPr>
          <w:rFonts w:eastAsia="Times New Roman" w:cstheme="minorHAnsi"/>
          <w:lang w:val="es-AR"/>
        </w:rPr>
        <w:t xml:space="preserve"> y el Consejo Provincial de Accesibilidad (</w:t>
      </w:r>
      <w:hyperlink r:id="rId15">
        <w:r w:rsidRPr="003F612F">
          <w:rPr>
            <w:rFonts w:eastAsia="Times New Roman" w:cstheme="minorHAnsi"/>
            <w:color w:val="1155CC"/>
            <w:u w:val="single"/>
            <w:lang w:val="es-AR"/>
          </w:rPr>
          <w:t>Ley 1222/2008</w:t>
        </w:r>
      </w:hyperlink>
      <w:r w:rsidRPr="003F612F">
        <w:rPr>
          <w:rFonts w:eastAsia="Times New Roman" w:cstheme="minorHAnsi"/>
          <w:color w:val="1155CC"/>
          <w:u w:val="single"/>
          <w:lang w:val="es-AR"/>
        </w:rPr>
        <w:t>)</w:t>
      </w:r>
      <w:r w:rsidRPr="003F612F">
        <w:rPr>
          <w:rFonts w:eastAsia="Times New Roman" w:cstheme="minorHAnsi"/>
          <w:lang w:val="es-AR"/>
        </w:rPr>
        <w:t>,</w:t>
      </w:r>
      <w:r w:rsidR="00306D30" w:rsidRPr="003F612F">
        <w:rPr>
          <w:rFonts w:eastAsia="Times New Roman" w:cstheme="minorHAnsi"/>
          <w:lang w:val="es-AR"/>
        </w:rPr>
        <w:t xml:space="preserve"> cuya representación es a través de organizaciones </w:t>
      </w:r>
      <w:r w:rsidRPr="003F612F">
        <w:rPr>
          <w:rFonts w:eastAsia="Times New Roman" w:cstheme="minorHAnsi"/>
          <w:lang w:val="es-AR"/>
        </w:rPr>
        <w:t xml:space="preserve">que tengan como objetivo el apoyo a </w:t>
      </w:r>
      <w:r w:rsidR="00306D30" w:rsidRPr="003F612F">
        <w:rPr>
          <w:rFonts w:eastAsia="Times New Roman" w:cstheme="minorHAnsi"/>
          <w:lang w:val="es-AR"/>
        </w:rPr>
        <w:t>PCD.</w:t>
      </w:r>
    </w:p>
    <w:p w14:paraId="5429DFDB" w14:textId="25A63ADF" w:rsidR="00E413A2" w:rsidRPr="003F612F" w:rsidRDefault="00306D30" w:rsidP="00762BF9">
      <w:pPr>
        <w:spacing w:after="240" w:line="276" w:lineRule="auto"/>
        <w:ind w:firstLine="720"/>
        <w:jc w:val="both"/>
        <w:rPr>
          <w:rFonts w:cstheme="minorHAnsi"/>
          <w:lang w:val="es-AR"/>
        </w:rPr>
      </w:pPr>
      <w:r w:rsidRPr="003F612F">
        <w:rPr>
          <w:rFonts w:cstheme="minorHAnsi"/>
          <w:lang w:val="es-AR"/>
        </w:rPr>
        <w:t>Aunado a ello, observamos que se despliegan p</w:t>
      </w:r>
      <w:r w:rsidR="00E413A2" w:rsidRPr="003F612F">
        <w:rPr>
          <w:rFonts w:cstheme="minorHAnsi"/>
          <w:lang w:val="es-AR"/>
        </w:rPr>
        <w:t>rocedimientos en los cuales</w:t>
      </w:r>
      <w:r w:rsidRPr="003F612F">
        <w:rPr>
          <w:rFonts w:cstheme="minorHAnsi"/>
          <w:lang w:val="es-AR"/>
        </w:rPr>
        <w:t xml:space="preserve"> se invita</w:t>
      </w:r>
      <w:r w:rsidR="00E413A2" w:rsidRPr="003F612F">
        <w:rPr>
          <w:rFonts w:cstheme="minorHAnsi"/>
          <w:lang w:val="es-AR"/>
        </w:rPr>
        <w:t xml:space="preserve"> a participar</w:t>
      </w:r>
      <w:r w:rsidRPr="003F612F">
        <w:rPr>
          <w:rFonts w:cstheme="minorHAnsi"/>
          <w:lang w:val="es-AR"/>
        </w:rPr>
        <w:t xml:space="preserve"> a las PCD</w:t>
      </w:r>
      <w:r w:rsidR="00E413A2" w:rsidRPr="003F612F">
        <w:rPr>
          <w:rFonts w:cstheme="minorHAnsi"/>
          <w:lang w:val="es-AR"/>
        </w:rPr>
        <w:t>, pero</w:t>
      </w:r>
      <w:r w:rsidRPr="003F612F">
        <w:rPr>
          <w:rFonts w:cstheme="minorHAnsi"/>
          <w:lang w:val="es-AR"/>
        </w:rPr>
        <w:t xml:space="preserve"> </w:t>
      </w:r>
      <w:r w:rsidR="00E413A2" w:rsidRPr="003F612F">
        <w:rPr>
          <w:rFonts w:cstheme="minorHAnsi"/>
          <w:lang w:val="es-AR"/>
        </w:rPr>
        <w:t xml:space="preserve">sus aportes no </w:t>
      </w:r>
      <w:r w:rsidR="009874F1" w:rsidRPr="003F612F">
        <w:rPr>
          <w:rFonts w:cstheme="minorHAnsi"/>
          <w:lang w:val="es-AR"/>
        </w:rPr>
        <w:t>se ven reflejados en políticas públicas</w:t>
      </w:r>
      <w:r w:rsidR="00E413A2" w:rsidRPr="003F612F">
        <w:rPr>
          <w:rFonts w:cstheme="minorHAnsi"/>
          <w:lang w:val="es-AR"/>
        </w:rPr>
        <w:t>. Por ejemplo, la Agencia Nacional de Discapacidad (ANDIS) realizó</w:t>
      </w:r>
      <w:r w:rsidR="00FF21A0">
        <w:rPr>
          <w:rFonts w:cstheme="minorHAnsi"/>
          <w:lang w:val="es-AR"/>
        </w:rPr>
        <w:t>, entre marzo y junio de 2022,</w:t>
      </w:r>
      <w:r w:rsidR="00E413A2" w:rsidRPr="003F612F">
        <w:rPr>
          <w:rFonts w:cstheme="minorHAnsi"/>
          <w:lang w:val="es-AR"/>
        </w:rPr>
        <w:t xml:space="preserve"> una consulta federal con el fin de recabar aportes para la nueva Ley de Discapacidad. A </w:t>
      </w:r>
      <w:r w:rsidR="00FF21A0">
        <w:rPr>
          <w:rFonts w:cstheme="minorHAnsi"/>
          <w:lang w:val="es-AR"/>
        </w:rPr>
        <w:t>enero de 2023,</w:t>
      </w:r>
      <w:r w:rsidR="00E413A2" w:rsidRPr="003F612F">
        <w:rPr>
          <w:rFonts w:cstheme="minorHAnsi"/>
          <w:lang w:val="es-AR"/>
        </w:rPr>
        <w:t xml:space="preserve"> </w:t>
      </w:r>
      <w:r w:rsidR="00AB78F6">
        <w:rPr>
          <w:rFonts w:cstheme="minorHAnsi"/>
          <w:lang w:val="es-AR"/>
        </w:rPr>
        <w:t>se desconoce</w:t>
      </w:r>
      <w:r w:rsidR="00E413A2" w:rsidRPr="003F612F">
        <w:rPr>
          <w:rFonts w:cstheme="minorHAnsi"/>
          <w:lang w:val="es-AR"/>
        </w:rPr>
        <w:t xml:space="preserve"> la incorporación de los aportes realizados</w:t>
      </w:r>
      <w:r w:rsidR="00E413A2" w:rsidRPr="003F612F">
        <w:rPr>
          <w:rFonts w:cstheme="minorHAnsi"/>
          <w:vertAlign w:val="superscript"/>
          <w:lang w:val="es-AR"/>
        </w:rPr>
        <w:footnoteReference w:id="11"/>
      </w:r>
      <w:r w:rsidR="00E413A2" w:rsidRPr="003F612F">
        <w:rPr>
          <w:rFonts w:cstheme="minorHAnsi"/>
          <w:lang w:val="es-AR"/>
        </w:rPr>
        <w:t xml:space="preserve">. En paralelo, la ANDIS elaboró lineamientos para </w:t>
      </w:r>
      <w:r w:rsidR="009874F1" w:rsidRPr="003F612F">
        <w:rPr>
          <w:rFonts w:cstheme="minorHAnsi"/>
          <w:lang w:val="es-AR"/>
        </w:rPr>
        <w:t xml:space="preserve">dicho </w:t>
      </w:r>
      <w:r w:rsidR="00E413A2" w:rsidRPr="003F612F">
        <w:rPr>
          <w:rFonts w:cstheme="minorHAnsi"/>
          <w:lang w:val="es-AR"/>
        </w:rPr>
        <w:t>proyecto de ley que solo fue</w:t>
      </w:r>
      <w:r w:rsidR="00004DEC" w:rsidRPr="003F612F">
        <w:rPr>
          <w:rFonts w:cstheme="minorHAnsi"/>
          <w:lang w:val="es-AR"/>
        </w:rPr>
        <w:t>ron</w:t>
      </w:r>
      <w:r w:rsidR="00E413A2" w:rsidRPr="003F612F">
        <w:rPr>
          <w:rFonts w:cstheme="minorHAnsi"/>
          <w:lang w:val="es-AR"/>
        </w:rPr>
        <w:t xml:space="preserve"> compartido</w:t>
      </w:r>
      <w:r w:rsidR="00004DEC" w:rsidRPr="003F612F">
        <w:rPr>
          <w:rFonts w:cstheme="minorHAnsi"/>
          <w:lang w:val="es-AR"/>
        </w:rPr>
        <w:t>s</w:t>
      </w:r>
      <w:r w:rsidR="00E413A2" w:rsidRPr="003F612F">
        <w:rPr>
          <w:rFonts w:cstheme="minorHAnsi"/>
          <w:lang w:val="es-AR"/>
        </w:rPr>
        <w:t xml:space="preserve"> de manera restringida y confidencial con un grupo de referentes del colectivo, por lo cual la mayoría de las organizaciones desconocemos el </w:t>
      </w:r>
      <w:r w:rsidR="00AC49B1">
        <w:rPr>
          <w:rFonts w:cstheme="minorHAnsi"/>
          <w:lang w:val="es-AR"/>
        </w:rPr>
        <w:t>proyecto que se enviará</w:t>
      </w:r>
      <w:r w:rsidR="009874F1" w:rsidRPr="003F612F">
        <w:rPr>
          <w:rFonts w:cstheme="minorHAnsi"/>
          <w:lang w:val="es-AR"/>
        </w:rPr>
        <w:t xml:space="preserve"> </w:t>
      </w:r>
      <w:r w:rsidR="00E413A2" w:rsidRPr="003F612F">
        <w:rPr>
          <w:rFonts w:cstheme="minorHAnsi"/>
          <w:lang w:val="es-AR"/>
        </w:rPr>
        <w:t>al Congreso</w:t>
      </w:r>
      <w:r w:rsidR="00E413A2" w:rsidRPr="003F612F">
        <w:rPr>
          <w:rFonts w:cstheme="minorHAnsi"/>
          <w:vertAlign w:val="superscript"/>
          <w:lang w:val="es-AR"/>
        </w:rPr>
        <w:footnoteReference w:id="12"/>
      </w:r>
      <w:r w:rsidR="00E413A2" w:rsidRPr="003F612F">
        <w:rPr>
          <w:rFonts w:cstheme="minorHAnsi"/>
          <w:lang w:val="es-AR"/>
        </w:rPr>
        <w:t xml:space="preserve">.  </w:t>
      </w:r>
    </w:p>
    <w:p w14:paraId="657DB9C9" w14:textId="5396CE8C" w:rsidR="00E413A2" w:rsidRPr="003F612F" w:rsidRDefault="00E413A2" w:rsidP="00762BF9">
      <w:pPr>
        <w:spacing w:after="240" w:line="276" w:lineRule="auto"/>
        <w:ind w:firstLine="720"/>
        <w:jc w:val="both"/>
        <w:rPr>
          <w:rFonts w:cstheme="minorHAnsi"/>
          <w:lang w:val="es-AR"/>
        </w:rPr>
      </w:pPr>
      <w:r w:rsidRPr="003F612F">
        <w:rPr>
          <w:rFonts w:cstheme="minorHAnsi"/>
          <w:lang w:val="es-AR"/>
        </w:rPr>
        <w:t xml:space="preserve">En igual sentido, en </w:t>
      </w:r>
      <w:r w:rsidR="000026AF" w:rsidRPr="003F612F">
        <w:rPr>
          <w:rFonts w:cstheme="minorHAnsi"/>
          <w:lang w:val="es-AR"/>
        </w:rPr>
        <w:t xml:space="preserve">la Ciudad de Buenos Aires, </w:t>
      </w:r>
      <w:r w:rsidR="00C46949">
        <w:rPr>
          <w:rFonts w:cstheme="minorHAnsi"/>
          <w:lang w:val="es-AR"/>
        </w:rPr>
        <w:t xml:space="preserve">Rumbos, FAICA y REDI participaron </w:t>
      </w:r>
      <w:r w:rsidRPr="003F612F">
        <w:rPr>
          <w:rFonts w:cstheme="minorHAnsi"/>
          <w:lang w:val="es-AR"/>
        </w:rPr>
        <w:t xml:space="preserve">en audiencias públicas referidas al nuevo Código de Edificación y Urbanístico con el fin de expresar nuestro rechazo por su contenido </w:t>
      </w:r>
      <w:proofErr w:type="spellStart"/>
      <w:r w:rsidRPr="003F612F">
        <w:rPr>
          <w:rFonts w:cstheme="minorHAnsi"/>
          <w:lang w:val="es-AR"/>
        </w:rPr>
        <w:t>discapacitante</w:t>
      </w:r>
      <w:proofErr w:type="spellEnd"/>
      <w:r w:rsidRPr="003F612F">
        <w:rPr>
          <w:rFonts w:cstheme="minorHAnsi"/>
          <w:lang w:val="es-AR"/>
        </w:rPr>
        <w:t xml:space="preserve"> en aspectos esenciales como la accesibilidad y acompañar propuestas en línea con el modelo social</w:t>
      </w:r>
      <w:r w:rsidRPr="003F612F">
        <w:rPr>
          <w:rFonts w:cstheme="minorHAnsi"/>
          <w:vertAlign w:val="superscript"/>
          <w:lang w:val="es-AR"/>
        </w:rPr>
        <w:footnoteReference w:id="13"/>
      </w:r>
      <w:r w:rsidRPr="003F612F">
        <w:rPr>
          <w:rFonts w:cstheme="minorHAnsi"/>
          <w:vertAlign w:val="superscript"/>
          <w:lang w:val="es-AR"/>
        </w:rPr>
        <w:t>.</w:t>
      </w:r>
      <w:r w:rsidRPr="003F612F">
        <w:rPr>
          <w:rFonts w:cstheme="minorHAnsi"/>
          <w:lang w:val="es-AR"/>
        </w:rPr>
        <w:t xml:space="preserve"> Sin embargo, las propuestas no fueron incorporadas en la nueva normativa ni se fundamentaron los motivos de dichas omisiones</w:t>
      </w:r>
      <w:r w:rsidRPr="003F612F">
        <w:rPr>
          <w:rFonts w:cstheme="minorHAnsi"/>
          <w:vertAlign w:val="superscript"/>
          <w:lang w:val="es-AR"/>
        </w:rPr>
        <w:footnoteReference w:id="14"/>
      </w:r>
      <w:r w:rsidR="00CC7759" w:rsidRPr="003F612F">
        <w:rPr>
          <w:rFonts w:cstheme="minorHAnsi"/>
          <w:lang w:val="es-AR"/>
        </w:rPr>
        <w:t>, motivo por el cual se inic</w:t>
      </w:r>
      <w:r w:rsidRPr="003F612F">
        <w:rPr>
          <w:rFonts w:cstheme="minorHAnsi"/>
          <w:lang w:val="es-AR"/>
        </w:rPr>
        <w:t>ió una acción colectiva reclamando la violación del derecho de participación ciudadana y el debido proceso</w:t>
      </w:r>
      <w:r w:rsidR="00777B99">
        <w:rPr>
          <w:rFonts w:cstheme="minorHAnsi"/>
          <w:lang w:val="es-AR"/>
        </w:rPr>
        <w:t>.</w:t>
      </w:r>
      <w:r w:rsidRPr="003F612F">
        <w:rPr>
          <w:rFonts w:cstheme="minorHAnsi"/>
          <w:vertAlign w:val="superscript"/>
          <w:lang w:val="es-AR"/>
        </w:rPr>
        <w:footnoteReference w:id="15"/>
      </w:r>
    </w:p>
    <w:p w14:paraId="234D3D12" w14:textId="0123FBCE" w:rsidR="00E413A2" w:rsidRPr="003F612F" w:rsidRDefault="00095904" w:rsidP="00762BF9">
      <w:pPr>
        <w:spacing w:after="240" w:line="276" w:lineRule="auto"/>
        <w:jc w:val="both"/>
        <w:rPr>
          <w:rFonts w:eastAsia="Times New Roman" w:cstheme="minorHAnsi"/>
          <w:b/>
          <w:bCs/>
          <w:i/>
          <w:u w:val="single"/>
          <w:lang w:val="es-AR"/>
        </w:rPr>
      </w:pPr>
      <w:r>
        <w:rPr>
          <w:rFonts w:eastAsia="Times New Roman" w:cstheme="minorHAnsi"/>
          <w:b/>
          <w:bCs/>
          <w:i/>
          <w:u w:val="single"/>
          <w:lang w:val="es-AR"/>
        </w:rPr>
        <w:t>Recomendaciones</w:t>
      </w:r>
      <w:r w:rsidRPr="003F612F">
        <w:rPr>
          <w:rFonts w:eastAsia="Times New Roman" w:cstheme="minorHAnsi"/>
          <w:b/>
          <w:bCs/>
          <w:i/>
          <w:u w:val="single"/>
          <w:lang w:val="es-AR"/>
        </w:rPr>
        <w:t xml:space="preserve"> </w:t>
      </w:r>
      <w:r w:rsidR="00E413A2" w:rsidRPr="003F612F">
        <w:rPr>
          <w:rFonts w:eastAsia="Times New Roman" w:cstheme="minorHAnsi"/>
          <w:b/>
          <w:bCs/>
          <w:i/>
          <w:u w:val="single"/>
          <w:lang w:val="es-AR"/>
        </w:rPr>
        <w:t xml:space="preserve">sugeridas al Estado: </w:t>
      </w:r>
    </w:p>
    <w:p w14:paraId="5EF7170E" w14:textId="1BDFD878" w:rsidR="00095904" w:rsidRPr="003F612F" w:rsidRDefault="00095904" w:rsidP="00762BF9">
      <w:pPr>
        <w:pStyle w:val="Prrafodelista"/>
        <w:numPr>
          <w:ilvl w:val="0"/>
          <w:numId w:val="4"/>
        </w:numPr>
        <w:spacing w:after="240" w:line="276" w:lineRule="auto"/>
        <w:ind w:left="714" w:hanging="357"/>
        <w:contextualSpacing w:val="0"/>
        <w:jc w:val="both"/>
        <w:rPr>
          <w:rFonts w:eastAsia="Times New Roman" w:cstheme="minorHAnsi"/>
          <w:lang w:val="es-AR"/>
        </w:rPr>
      </w:pPr>
      <w:r>
        <w:rPr>
          <w:rFonts w:eastAsia="Times New Roman" w:cstheme="minorHAnsi"/>
          <w:lang w:val="es-AR"/>
        </w:rPr>
        <w:t>Garantizar</w:t>
      </w:r>
      <w:r w:rsidRPr="003F612F">
        <w:rPr>
          <w:rFonts w:eastAsia="Times New Roman" w:cstheme="minorHAnsi"/>
          <w:lang w:val="es-AR"/>
        </w:rPr>
        <w:t xml:space="preserve"> la participación transversal de </w:t>
      </w:r>
      <w:r w:rsidR="007929D8">
        <w:rPr>
          <w:rFonts w:eastAsia="Times New Roman" w:cstheme="minorHAnsi"/>
          <w:lang w:val="es-AR"/>
        </w:rPr>
        <w:t>las OPD</w:t>
      </w:r>
      <w:r w:rsidRPr="003F612F">
        <w:rPr>
          <w:rFonts w:eastAsia="Times New Roman" w:cstheme="minorHAnsi"/>
          <w:lang w:val="es-AR"/>
        </w:rPr>
        <w:t xml:space="preserve"> en el diseño de las políticas públicas sobre discapacidad en las distintas jurisdicciones gubernamentales. Incluyendo la participación de niñas, niños y adolescentes. </w:t>
      </w:r>
    </w:p>
    <w:p w14:paraId="483C5412" w14:textId="77777777" w:rsidR="00095904" w:rsidRPr="003F612F" w:rsidRDefault="00095904" w:rsidP="00762BF9">
      <w:pPr>
        <w:pStyle w:val="Prrafodelista"/>
        <w:numPr>
          <w:ilvl w:val="0"/>
          <w:numId w:val="4"/>
        </w:numPr>
        <w:spacing w:after="240" w:line="276" w:lineRule="auto"/>
        <w:ind w:left="714" w:hanging="357"/>
        <w:contextualSpacing w:val="0"/>
        <w:jc w:val="both"/>
        <w:rPr>
          <w:rFonts w:eastAsia="Times New Roman" w:cstheme="minorHAnsi"/>
          <w:i/>
          <w:iCs/>
          <w:lang w:val="es-AR"/>
        </w:rPr>
      </w:pPr>
      <w:r>
        <w:rPr>
          <w:rFonts w:eastAsia="Times New Roman" w:cstheme="minorHAnsi"/>
          <w:lang w:val="es-AR"/>
        </w:rPr>
        <w:t xml:space="preserve">Tomar </w:t>
      </w:r>
      <w:r w:rsidRPr="003F612F">
        <w:rPr>
          <w:rFonts w:eastAsia="Times New Roman" w:cstheme="minorHAnsi"/>
          <w:lang w:val="es-AR"/>
        </w:rPr>
        <w:t xml:space="preserve">medidas concretas e integrales de promoción de las ODP de todo el país para garantizar la plena participación y representación de las PCD acorde al lema </w:t>
      </w:r>
      <w:r w:rsidRPr="003F612F">
        <w:rPr>
          <w:rFonts w:eastAsia="Times New Roman" w:cstheme="minorHAnsi"/>
          <w:i/>
          <w:iCs/>
          <w:lang w:val="es-AR"/>
        </w:rPr>
        <w:t xml:space="preserve">“nada sobre nosotros/as sin nosotros/as”. </w:t>
      </w:r>
    </w:p>
    <w:tbl>
      <w:tblPr>
        <w:tblStyle w:val="Tablaconcuadrcula"/>
        <w:tblW w:w="0" w:type="auto"/>
        <w:tblLook w:val="04A0" w:firstRow="1" w:lastRow="0" w:firstColumn="1" w:lastColumn="0" w:noHBand="0" w:noVBand="1"/>
      </w:tblPr>
      <w:tblGrid>
        <w:gridCol w:w="9736"/>
      </w:tblGrid>
      <w:tr w:rsidR="003A4393" w:rsidRPr="003F612F" w14:paraId="6B6DA195" w14:textId="77777777" w:rsidTr="003A4393">
        <w:tc>
          <w:tcPr>
            <w:tcW w:w="9736" w:type="dxa"/>
            <w:shd w:val="clear" w:color="auto" w:fill="D5DCE4" w:themeFill="text2" w:themeFillTint="33"/>
          </w:tcPr>
          <w:p w14:paraId="19A1B370" w14:textId="23E1E1C8" w:rsidR="003A4393" w:rsidRPr="00C37C64" w:rsidRDefault="003A4393" w:rsidP="00762BF9">
            <w:pPr>
              <w:pStyle w:val="Ttulo2"/>
              <w:spacing w:line="276" w:lineRule="auto"/>
              <w:jc w:val="center"/>
              <w:outlineLvl w:val="1"/>
              <w:rPr>
                <w:rFonts w:asciiTheme="minorHAnsi" w:eastAsia="Times New Roman" w:hAnsiTheme="minorHAnsi" w:cstheme="minorHAnsi"/>
                <w:b/>
                <w:bCs/>
                <w:color w:val="auto"/>
                <w:sz w:val="22"/>
                <w:szCs w:val="22"/>
                <w:lang w:val="es-AR"/>
              </w:rPr>
            </w:pPr>
            <w:bookmarkStart w:id="6" w:name="_Toc124881433"/>
            <w:r w:rsidRPr="00C37C64">
              <w:rPr>
                <w:rFonts w:asciiTheme="minorHAnsi" w:eastAsia="Times New Roman" w:hAnsiTheme="minorHAnsi" w:cstheme="minorHAnsi"/>
                <w:b/>
                <w:bCs/>
                <w:color w:val="auto"/>
                <w:sz w:val="24"/>
                <w:szCs w:val="24"/>
                <w:lang w:val="es-AR"/>
              </w:rPr>
              <w:lastRenderedPageBreak/>
              <w:t>Artículo 5: Igualdad y No Discriminación</w:t>
            </w:r>
            <w:bookmarkEnd w:id="6"/>
          </w:p>
        </w:tc>
      </w:tr>
    </w:tbl>
    <w:p w14:paraId="43DA0CDF" w14:textId="10F09738" w:rsidR="00EA6140" w:rsidRDefault="00EA6140" w:rsidP="00762BF9">
      <w:pPr>
        <w:spacing w:before="240" w:after="240" w:line="276" w:lineRule="auto"/>
        <w:ind w:firstLine="720"/>
        <w:jc w:val="both"/>
        <w:rPr>
          <w:rFonts w:eastAsia="Times New Roman" w:cstheme="minorHAnsi"/>
          <w:lang w:val="es-AR"/>
        </w:rPr>
      </w:pPr>
      <w:r>
        <w:rPr>
          <w:rFonts w:eastAsia="Times New Roman" w:cstheme="minorHAnsi"/>
          <w:lang w:val="es-AR"/>
        </w:rPr>
        <w:t>El marco normativo vigente sobre actos discriminatorios</w:t>
      </w:r>
      <w:r w:rsidR="004157EB">
        <w:rPr>
          <w:rFonts w:eastAsia="Times New Roman" w:cstheme="minorHAnsi"/>
          <w:lang w:val="es-AR"/>
        </w:rPr>
        <w:t>, Ley 23.592 de 1988,</w:t>
      </w:r>
      <w:r>
        <w:rPr>
          <w:rFonts w:eastAsia="Times New Roman" w:cstheme="minorHAnsi"/>
          <w:lang w:val="es-AR"/>
        </w:rPr>
        <w:t xml:space="preserve"> no presenta cambios respecto al Informe Alternativo 2017. Continúa sin incorporarse la denegación de ajustes razonables como una discriminación por motivos de discapacidad</w:t>
      </w:r>
      <w:r w:rsidR="00AB78F6">
        <w:rPr>
          <w:rFonts w:eastAsia="Times New Roman" w:cstheme="minorHAnsi"/>
          <w:lang w:val="es-AR"/>
        </w:rPr>
        <w:t xml:space="preserve"> y</w:t>
      </w:r>
      <w:r>
        <w:rPr>
          <w:rFonts w:eastAsia="Times New Roman" w:cstheme="minorHAnsi"/>
          <w:lang w:val="es-AR"/>
        </w:rPr>
        <w:t xml:space="preserve"> tampoco se </w:t>
      </w:r>
      <w:r w:rsidR="00AB78F6">
        <w:rPr>
          <w:rFonts w:eastAsia="Times New Roman" w:cstheme="minorHAnsi"/>
          <w:lang w:val="es-AR"/>
        </w:rPr>
        <w:t>contempló</w:t>
      </w:r>
      <w:r>
        <w:rPr>
          <w:rFonts w:eastAsia="Times New Roman" w:cstheme="minorHAnsi"/>
          <w:lang w:val="es-AR"/>
        </w:rPr>
        <w:t xml:space="preserve"> la discriminación múltiple.</w:t>
      </w:r>
    </w:p>
    <w:p w14:paraId="00F24696" w14:textId="0D3FBDE1" w:rsidR="00A123CD" w:rsidRDefault="00A123CD" w:rsidP="00762BF9">
      <w:pPr>
        <w:spacing w:before="240" w:after="240" w:line="276" w:lineRule="auto"/>
        <w:ind w:firstLine="720"/>
        <w:jc w:val="both"/>
        <w:rPr>
          <w:rFonts w:eastAsia="Times New Roman" w:cstheme="minorHAnsi"/>
          <w:lang w:val="es-AR"/>
        </w:rPr>
      </w:pPr>
      <w:r w:rsidRPr="001E64BD">
        <w:rPr>
          <w:rFonts w:ascii="Calibri" w:hAnsi="Calibri" w:cs="Calibri"/>
          <w:shd w:val="clear" w:color="auto" w:fill="FFFFFF"/>
        </w:rPr>
        <w:t>El Mapa Nacional de la Discriminación realizado por INADI, refleja un alza en los niveles de discriminación, incrementándose la proporción de personas que la sufrieron del 65% en 2013 al 72% en 2019 Entre los motivos se destacan las corporalidades diversas (38%) y discapacidad (3%)</w:t>
      </w:r>
      <w:r w:rsidRPr="001E64BD">
        <w:rPr>
          <w:rStyle w:val="Refdenotaalpie"/>
          <w:rFonts w:ascii="Calibri" w:hAnsi="Calibri" w:cs="Calibri"/>
          <w:shd w:val="clear" w:color="auto" w:fill="FFFFFF"/>
        </w:rPr>
        <w:footnoteReference w:id="16"/>
      </w:r>
      <w:r w:rsidRPr="001E64BD">
        <w:rPr>
          <w:rFonts w:ascii="Calibri" w:hAnsi="Calibri" w:cs="Calibri"/>
          <w:shd w:val="clear" w:color="auto" w:fill="FFFFFF"/>
        </w:rPr>
        <w:t>.</w:t>
      </w:r>
    </w:p>
    <w:p w14:paraId="4F2DC083" w14:textId="05EC9AF6" w:rsidR="00E413A2" w:rsidRPr="003F612F" w:rsidRDefault="000F082F" w:rsidP="00762BF9">
      <w:pPr>
        <w:spacing w:after="240" w:line="276" w:lineRule="auto"/>
        <w:ind w:firstLine="720"/>
        <w:jc w:val="both"/>
        <w:rPr>
          <w:rFonts w:eastAsia="Times New Roman" w:cstheme="minorHAnsi"/>
          <w:lang w:val="es-AR"/>
        </w:rPr>
      </w:pPr>
      <w:r w:rsidRPr="003F612F">
        <w:rPr>
          <w:rFonts w:eastAsia="Times New Roman" w:cstheme="minorHAnsi"/>
          <w:lang w:val="es-AR"/>
        </w:rPr>
        <w:t>P</w:t>
      </w:r>
      <w:r w:rsidR="00E413A2" w:rsidRPr="003F612F">
        <w:rPr>
          <w:rFonts w:eastAsia="Times New Roman" w:cstheme="minorHAnsi"/>
          <w:lang w:val="es-AR"/>
        </w:rPr>
        <w:t>ersiste el trato desigual y discriminatorio en perjuicio de las PCD.</w:t>
      </w:r>
      <w:r w:rsidR="003C4730" w:rsidRPr="003F612F">
        <w:rPr>
          <w:rFonts w:eastAsia="Times New Roman" w:cstheme="minorHAnsi"/>
          <w:lang w:val="es-AR"/>
        </w:rPr>
        <w:t xml:space="preserve"> </w:t>
      </w:r>
      <w:r w:rsidR="005C1570" w:rsidRPr="003F612F">
        <w:rPr>
          <w:rFonts w:eastAsia="Times New Roman" w:cstheme="minorHAnsi"/>
          <w:lang w:val="es-AR"/>
        </w:rPr>
        <w:t>Observamos el incumplimiento de</w:t>
      </w:r>
      <w:r w:rsidR="003C4730" w:rsidRPr="003F612F">
        <w:rPr>
          <w:rFonts w:eastAsia="Times New Roman" w:cstheme="minorHAnsi"/>
          <w:lang w:val="es-AR"/>
        </w:rPr>
        <w:t xml:space="preserve"> leyes </w:t>
      </w:r>
      <w:r w:rsidR="001140D5">
        <w:rPr>
          <w:rFonts w:eastAsia="Times New Roman" w:cstheme="minorHAnsi"/>
          <w:lang w:val="es-AR"/>
        </w:rPr>
        <w:t xml:space="preserve">referidas al acceso igualitario </w:t>
      </w:r>
      <w:r w:rsidR="003C4730" w:rsidRPr="003F612F">
        <w:rPr>
          <w:rFonts w:eastAsia="Times New Roman" w:cstheme="minorHAnsi"/>
          <w:lang w:val="es-AR"/>
        </w:rPr>
        <w:t>e</w:t>
      </w:r>
      <w:r w:rsidR="005C1570" w:rsidRPr="003F612F">
        <w:rPr>
          <w:rFonts w:eastAsia="Times New Roman" w:cstheme="minorHAnsi"/>
          <w:lang w:val="es-AR"/>
        </w:rPr>
        <w:t xml:space="preserve">n </w:t>
      </w:r>
      <w:r w:rsidR="003C4730" w:rsidRPr="003F612F">
        <w:rPr>
          <w:rFonts w:eastAsia="Times New Roman" w:cstheme="minorHAnsi"/>
          <w:lang w:val="es-AR"/>
        </w:rPr>
        <w:t xml:space="preserve">el </w:t>
      </w:r>
      <w:r w:rsidR="00E413A2" w:rsidRPr="003F612F">
        <w:rPr>
          <w:rFonts w:eastAsia="Times New Roman" w:cstheme="minorHAnsi"/>
          <w:lang w:val="es-AR"/>
        </w:rPr>
        <w:t>transporte público</w:t>
      </w:r>
      <w:r w:rsidR="005C1570" w:rsidRPr="003F612F">
        <w:rPr>
          <w:rFonts w:eastAsia="Times New Roman" w:cstheme="minorHAnsi"/>
          <w:lang w:val="es-AR"/>
        </w:rPr>
        <w:t xml:space="preserve">, el poder judicial, </w:t>
      </w:r>
      <w:r w:rsidR="003048FE" w:rsidRPr="003F612F">
        <w:rPr>
          <w:rFonts w:eastAsia="Times New Roman" w:cstheme="minorHAnsi"/>
          <w:lang w:val="es-AR"/>
        </w:rPr>
        <w:t>el acceso a la salud</w:t>
      </w:r>
      <w:r w:rsidR="001140D5">
        <w:rPr>
          <w:rFonts w:eastAsia="Times New Roman" w:cstheme="minorHAnsi"/>
          <w:lang w:val="es-AR"/>
        </w:rPr>
        <w:t>,</w:t>
      </w:r>
      <w:r w:rsidR="003048FE" w:rsidRPr="003F612F">
        <w:rPr>
          <w:rFonts w:eastAsia="Times New Roman" w:cstheme="minorHAnsi"/>
          <w:lang w:val="es-AR"/>
        </w:rPr>
        <w:t xml:space="preserve"> la educación</w:t>
      </w:r>
      <w:r w:rsidR="001140D5">
        <w:rPr>
          <w:rFonts w:eastAsia="Times New Roman" w:cstheme="minorHAnsi"/>
          <w:lang w:val="es-AR"/>
        </w:rPr>
        <w:t xml:space="preserve"> y </w:t>
      </w:r>
      <w:r w:rsidR="00E413A2" w:rsidRPr="003F612F">
        <w:rPr>
          <w:rFonts w:eastAsia="Times New Roman" w:cstheme="minorHAnsi"/>
          <w:lang w:val="es-AR"/>
        </w:rPr>
        <w:t>las empresas privadas o concesionaria</w:t>
      </w:r>
      <w:r w:rsidR="007F5B12" w:rsidRPr="003F612F">
        <w:rPr>
          <w:rFonts w:eastAsia="Times New Roman" w:cstheme="minorHAnsi"/>
          <w:lang w:val="es-AR"/>
        </w:rPr>
        <w:t>s</w:t>
      </w:r>
      <w:r w:rsidR="00E413A2" w:rsidRPr="003F612F">
        <w:rPr>
          <w:rFonts w:eastAsia="Times New Roman" w:cstheme="minorHAnsi"/>
          <w:lang w:val="es-AR"/>
        </w:rPr>
        <w:t xml:space="preserve"> de servicios </w:t>
      </w:r>
      <w:r w:rsidR="00E413A2" w:rsidRPr="00943293">
        <w:rPr>
          <w:rFonts w:eastAsia="Times New Roman" w:cstheme="minorHAnsi"/>
          <w:lang w:val="es-AR"/>
        </w:rPr>
        <w:t>públicos</w:t>
      </w:r>
      <w:r w:rsidR="00C46949" w:rsidRPr="00943293">
        <w:rPr>
          <w:rFonts w:eastAsia="Times New Roman" w:cstheme="minorHAnsi"/>
          <w:lang w:val="es-AR"/>
        </w:rPr>
        <w:t>, entre otros ámbitos</w:t>
      </w:r>
      <w:r w:rsidR="005C1570" w:rsidRPr="00943293">
        <w:rPr>
          <w:rFonts w:eastAsia="Times New Roman" w:cstheme="minorHAnsi"/>
          <w:lang w:val="es-AR"/>
        </w:rPr>
        <w:t xml:space="preserve">. </w:t>
      </w:r>
      <w:r w:rsidR="001140D5">
        <w:rPr>
          <w:rFonts w:eastAsia="Times New Roman" w:cstheme="minorHAnsi"/>
          <w:lang w:val="es-AR"/>
        </w:rPr>
        <w:t>N</w:t>
      </w:r>
      <w:r w:rsidR="00E413A2" w:rsidRPr="003F612F">
        <w:rPr>
          <w:rFonts w:eastAsia="Times New Roman" w:cstheme="minorHAnsi"/>
          <w:lang w:val="es-AR"/>
        </w:rPr>
        <w:t>otamos una falta efectiva de aplicación y monitoreo</w:t>
      </w:r>
      <w:r w:rsidR="001140D5">
        <w:rPr>
          <w:rFonts w:eastAsia="Times New Roman" w:cstheme="minorHAnsi"/>
          <w:lang w:val="es-AR"/>
        </w:rPr>
        <w:t xml:space="preserve"> de las medidas vigentes</w:t>
      </w:r>
      <w:r w:rsidR="005C1570" w:rsidRPr="003F612F">
        <w:rPr>
          <w:rFonts w:eastAsia="Times New Roman" w:cstheme="minorHAnsi"/>
          <w:lang w:val="es-AR"/>
        </w:rPr>
        <w:t xml:space="preserve">, así como una </w:t>
      </w:r>
      <w:r w:rsidR="007F5B12" w:rsidRPr="003F612F">
        <w:rPr>
          <w:rFonts w:eastAsia="Times New Roman" w:cstheme="minorHAnsi"/>
          <w:lang w:val="es-AR"/>
        </w:rPr>
        <w:t xml:space="preserve">carencia </w:t>
      </w:r>
      <w:r w:rsidR="005C1570" w:rsidRPr="003F612F">
        <w:rPr>
          <w:rFonts w:eastAsia="Times New Roman" w:cstheme="minorHAnsi"/>
          <w:lang w:val="es-AR"/>
        </w:rPr>
        <w:t xml:space="preserve">de </w:t>
      </w:r>
      <w:r w:rsidR="00E413A2" w:rsidRPr="003F612F">
        <w:rPr>
          <w:rFonts w:eastAsia="Times New Roman" w:cstheme="minorHAnsi"/>
          <w:lang w:val="es-AR"/>
        </w:rPr>
        <w:t>ajustes razonable</w:t>
      </w:r>
      <w:r w:rsidR="005C1570" w:rsidRPr="003F612F">
        <w:rPr>
          <w:rFonts w:eastAsia="Times New Roman" w:cstheme="minorHAnsi"/>
          <w:lang w:val="es-AR"/>
        </w:rPr>
        <w:t xml:space="preserve">s. </w:t>
      </w:r>
      <w:r w:rsidR="00760CA6" w:rsidRPr="003F612F">
        <w:rPr>
          <w:rFonts w:eastAsia="Times New Roman" w:cstheme="minorHAnsi"/>
          <w:lang w:val="es-AR"/>
        </w:rPr>
        <w:t>En tal sentido, el P</w:t>
      </w:r>
      <w:r w:rsidR="00E413A2" w:rsidRPr="003F612F">
        <w:rPr>
          <w:rFonts w:eastAsia="Times New Roman" w:cstheme="minorHAnsi"/>
          <w:lang w:val="es-AR"/>
        </w:rPr>
        <w:t xml:space="preserve">oder Judicial de la Provincia de Buenos Aires deniega ajustes razonables en perjuicio de </w:t>
      </w:r>
      <w:r w:rsidR="001D49AF">
        <w:rPr>
          <w:rFonts w:eastAsia="Times New Roman" w:cstheme="minorHAnsi"/>
          <w:lang w:val="es-AR"/>
        </w:rPr>
        <w:t>las PCD</w:t>
      </w:r>
      <w:r w:rsidR="006A6D3B">
        <w:rPr>
          <w:rFonts w:eastAsia="Times New Roman" w:cstheme="minorHAnsi"/>
          <w:lang w:val="es-AR"/>
        </w:rPr>
        <w:t xml:space="preserve"> </w:t>
      </w:r>
      <w:r w:rsidR="007F5B12" w:rsidRPr="003F612F">
        <w:rPr>
          <w:rFonts w:eastAsia="Times New Roman" w:cstheme="minorHAnsi"/>
          <w:lang w:val="es-AR"/>
        </w:rPr>
        <w:t>visual</w:t>
      </w:r>
      <w:r w:rsidR="001D49AF">
        <w:rPr>
          <w:rFonts w:eastAsia="Times New Roman" w:cstheme="minorHAnsi"/>
          <w:lang w:val="es-AR"/>
        </w:rPr>
        <w:t xml:space="preserve"> abogadas</w:t>
      </w:r>
      <w:r w:rsidR="00E413A2" w:rsidRPr="003F612F">
        <w:rPr>
          <w:rFonts w:eastAsia="Times New Roman" w:cstheme="minorHAnsi"/>
          <w:lang w:val="es-AR"/>
        </w:rPr>
        <w:t>, en virtud de que el sistema de notificaciones y presentaciones electrónicas no está diseñado de manera compatible con los lectores de pantalla usados por las personas ciegas. Esto torna imposible el ejercicio autónomo de la profesión y supone una barrera para quienes no tienen la posibilidad de contratar una persona que pueda asistirl</w:t>
      </w:r>
      <w:r w:rsidR="003048FE" w:rsidRPr="003F612F">
        <w:rPr>
          <w:rFonts w:eastAsia="Times New Roman" w:cstheme="minorHAnsi"/>
          <w:lang w:val="es-AR"/>
        </w:rPr>
        <w:t>e</w:t>
      </w:r>
      <w:r w:rsidR="00E413A2" w:rsidRPr="003F612F">
        <w:rPr>
          <w:rFonts w:eastAsia="Times New Roman" w:cstheme="minorHAnsi"/>
          <w:lang w:val="es-AR"/>
        </w:rPr>
        <w:t xml:space="preserve">s.  </w:t>
      </w:r>
    </w:p>
    <w:p w14:paraId="65FD21C9" w14:textId="4DD2B812" w:rsidR="00E413A2" w:rsidRPr="003F612F" w:rsidRDefault="00981AB1" w:rsidP="00762BF9">
      <w:pPr>
        <w:spacing w:after="240" w:line="276" w:lineRule="auto"/>
        <w:ind w:firstLine="720"/>
        <w:jc w:val="both"/>
        <w:rPr>
          <w:rFonts w:eastAsia="Times New Roman" w:cstheme="minorHAnsi"/>
          <w:lang w:val="es-AR"/>
        </w:rPr>
      </w:pPr>
      <w:r>
        <w:rPr>
          <w:rFonts w:eastAsia="Times New Roman" w:cstheme="minorHAnsi"/>
          <w:lang w:val="es-AR"/>
        </w:rPr>
        <w:t xml:space="preserve">Destacamos </w:t>
      </w:r>
      <w:r w:rsidR="00E413A2" w:rsidRPr="003F612F">
        <w:rPr>
          <w:rFonts w:eastAsia="Times New Roman" w:cstheme="minorHAnsi"/>
          <w:lang w:val="es-AR"/>
        </w:rPr>
        <w:t xml:space="preserve">la particular situación de discriminación que afecta a las </w:t>
      </w:r>
      <w:r w:rsidR="008A5AE0" w:rsidRPr="003F612F">
        <w:rPr>
          <w:rFonts w:eastAsia="Times New Roman" w:cstheme="minorHAnsi"/>
          <w:lang w:val="es-AR"/>
        </w:rPr>
        <w:t>PCD</w:t>
      </w:r>
      <w:r w:rsidR="00E413A2" w:rsidRPr="003F612F">
        <w:rPr>
          <w:rFonts w:eastAsia="Times New Roman" w:cstheme="minorHAnsi"/>
          <w:lang w:val="es-AR"/>
        </w:rPr>
        <w:t xml:space="preserve"> psicosocia</w:t>
      </w:r>
      <w:r w:rsidR="005C49A8" w:rsidRPr="003F612F">
        <w:rPr>
          <w:rFonts w:eastAsia="Times New Roman" w:cstheme="minorHAnsi"/>
          <w:lang w:val="es-AR"/>
        </w:rPr>
        <w:t>l</w:t>
      </w:r>
      <w:r w:rsidR="00E413A2" w:rsidRPr="003F612F">
        <w:rPr>
          <w:rFonts w:eastAsia="Times New Roman" w:cstheme="minorHAnsi"/>
          <w:lang w:val="es-AR"/>
        </w:rPr>
        <w:t xml:space="preserve">. </w:t>
      </w:r>
      <w:r w:rsidR="00AB78F6">
        <w:rPr>
          <w:rFonts w:eastAsia="Times New Roman" w:cstheme="minorHAnsi"/>
          <w:lang w:val="es-AR"/>
        </w:rPr>
        <w:t>P</w:t>
      </w:r>
      <w:r w:rsidR="00E413A2" w:rsidRPr="003F612F">
        <w:rPr>
          <w:rFonts w:eastAsia="Times New Roman" w:cstheme="minorHAnsi"/>
          <w:lang w:val="es-AR"/>
        </w:rPr>
        <w:t xml:space="preserve">revalece el </w:t>
      </w:r>
      <w:proofErr w:type="spellStart"/>
      <w:r w:rsidR="00E413A2" w:rsidRPr="003F612F">
        <w:rPr>
          <w:rFonts w:eastAsia="Times New Roman" w:cstheme="minorHAnsi"/>
          <w:lang w:val="es-AR"/>
        </w:rPr>
        <w:t>capacitismo</w:t>
      </w:r>
      <w:proofErr w:type="spellEnd"/>
      <w:r w:rsidR="00E413A2" w:rsidRPr="003F612F">
        <w:rPr>
          <w:rFonts w:eastAsia="Times New Roman" w:cstheme="minorHAnsi"/>
          <w:lang w:val="es-AR"/>
        </w:rPr>
        <w:t xml:space="preserve"> y el paternalismo por lo que pasan su vida en internaciones, centros ambulatorios en el caso que los hubiera y pudieran acceder, en sus hogares o en la calle. </w:t>
      </w:r>
      <w:r w:rsidR="00364C56" w:rsidRPr="003F612F">
        <w:rPr>
          <w:rFonts w:eastAsia="Times New Roman" w:cstheme="minorHAnsi"/>
          <w:lang w:val="es-AR"/>
        </w:rPr>
        <w:t xml:space="preserve">Aunado a ello, los mismos </w:t>
      </w:r>
      <w:r w:rsidR="007F5B12" w:rsidRPr="003F612F">
        <w:rPr>
          <w:rFonts w:eastAsia="Times New Roman" w:cstheme="minorHAnsi"/>
          <w:lang w:val="es-AR"/>
        </w:rPr>
        <w:t xml:space="preserve">organismos </w:t>
      </w:r>
      <w:r w:rsidR="00364C56" w:rsidRPr="003F612F">
        <w:rPr>
          <w:rFonts w:eastAsia="Times New Roman" w:cstheme="minorHAnsi"/>
          <w:lang w:val="es-AR"/>
        </w:rPr>
        <w:t>estatales son los que generan barreras para el acceso a sus derechos, tal se observa en la demora en la atención</w:t>
      </w:r>
      <w:r w:rsidR="00364C56" w:rsidRPr="003F612F">
        <w:rPr>
          <w:rStyle w:val="Refdenotaalpie"/>
          <w:rFonts w:eastAsia="Times New Roman" w:cstheme="minorHAnsi"/>
          <w:lang w:val="es-AR"/>
        </w:rPr>
        <w:footnoteReference w:id="17"/>
      </w:r>
      <w:r w:rsidR="00364C56" w:rsidRPr="003F612F">
        <w:rPr>
          <w:rFonts w:eastAsia="Times New Roman" w:cstheme="minorHAnsi"/>
          <w:lang w:val="es-AR"/>
        </w:rPr>
        <w:t xml:space="preserve"> </w:t>
      </w:r>
      <w:r w:rsidR="000F082F" w:rsidRPr="003F612F">
        <w:rPr>
          <w:rFonts w:eastAsia="Times New Roman" w:cstheme="minorHAnsi"/>
          <w:lang w:val="es-AR"/>
        </w:rPr>
        <w:t>y</w:t>
      </w:r>
      <w:r w:rsidR="00364C56" w:rsidRPr="003F612F">
        <w:rPr>
          <w:rFonts w:eastAsia="Times New Roman" w:cstheme="minorHAnsi"/>
          <w:lang w:val="es-AR"/>
        </w:rPr>
        <w:t xml:space="preserve"> en el incumplimiento de resoluciones judiciales</w:t>
      </w:r>
      <w:r w:rsidR="005C49A8" w:rsidRPr="003F612F">
        <w:rPr>
          <w:rStyle w:val="Refdenotaalpie"/>
          <w:rFonts w:eastAsia="Times New Roman" w:cstheme="minorHAnsi"/>
          <w:lang w:val="es-AR"/>
        </w:rPr>
        <w:footnoteReference w:id="18"/>
      </w:r>
      <w:r w:rsidR="00364C56" w:rsidRPr="003F612F">
        <w:rPr>
          <w:rFonts w:eastAsia="Times New Roman" w:cstheme="minorHAnsi"/>
          <w:lang w:val="es-AR"/>
        </w:rPr>
        <w:t xml:space="preserve">. </w:t>
      </w:r>
      <w:r w:rsidR="002C6D38">
        <w:rPr>
          <w:rFonts w:eastAsia="Times New Roman" w:cstheme="minorHAnsi"/>
          <w:lang w:val="es-AR"/>
        </w:rPr>
        <w:t xml:space="preserve"> También </w:t>
      </w:r>
      <w:r w:rsidR="004E46CC">
        <w:rPr>
          <w:rFonts w:eastAsia="Times New Roman" w:cstheme="minorHAnsi"/>
          <w:lang w:val="es-AR"/>
        </w:rPr>
        <w:t xml:space="preserve">continúa sin conocerse </w:t>
      </w:r>
      <w:r w:rsidR="0030026C">
        <w:rPr>
          <w:rFonts w:eastAsia="Times New Roman" w:cstheme="minorHAnsi"/>
          <w:lang w:val="es-AR"/>
        </w:rPr>
        <w:t xml:space="preserve">la gestión del área de Discapacidad y Pueblos Indígenas de la ANDIS, creada </w:t>
      </w:r>
      <w:r w:rsidR="001F5105">
        <w:rPr>
          <w:rFonts w:eastAsia="Times New Roman" w:cstheme="minorHAnsi"/>
          <w:lang w:val="es-AR"/>
        </w:rPr>
        <w:t>en 2020, y cuyo responsable</w:t>
      </w:r>
      <w:r w:rsidR="002813E7">
        <w:rPr>
          <w:rFonts w:eastAsia="Times New Roman" w:cstheme="minorHAnsi"/>
          <w:lang w:val="es-AR"/>
        </w:rPr>
        <w:t xml:space="preserve">, integrante de una comunidad </w:t>
      </w:r>
      <w:proofErr w:type="spellStart"/>
      <w:r w:rsidR="002813E7">
        <w:rPr>
          <w:rFonts w:eastAsia="Times New Roman" w:cstheme="minorHAnsi"/>
          <w:lang w:val="es-AR"/>
        </w:rPr>
        <w:t>wich</w:t>
      </w:r>
      <w:r w:rsidR="00A166C8">
        <w:rPr>
          <w:rFonts w:eastAsia="Times New Roman" w:cstheme="minorHAnsi"/>
          <w:lang w:val="es-AR"/>
        </w:rPr>
        <w:t>í</w:t>
      </w:r>
      <w:proofErr w:type="spellEnd"/>
      <w:r w:rsidR="002813E7">
        <w:rPr>
          <w:rFonts w:eastAsia="Times New Roman" w:cstheme="minorHAnsi"/>
          <w:lang w:val="es-AR"/>
        </w:rPr>
        <w:t>, falleció poco tiempo después de haber sido nombrado</w:t>
      </w:r>
      <w:r w:rsidR="002813E7">
        <w:rPr>
          <w:rStyle w:val="Refdenotaalpie"/>
          <w:rFonts w:eastAsia="Times New Roman" w:cstheme="minorHAnsi"/>
          <w:lang w:val="es-AR"/>
        </w:rPr>
        <w:footnoteReference w:id="19"/>
      </w:r>
      <w:r w:rsidR="002813E7">
        <w:rPr>
          <w:rFonts w:eastAsia="Times New Roman" w:cstheme="minorHAnsi"/>
          <w:lang w:val="es-AR"/>
        </w:rPr>
        <w:t>.</w:t>
      </w:r>
      <w:r w:rsidR="004E46CC">
        <w:rPr>
          <w:rFonts w:eastAsia="Times New Roman" w:cstheme="minorHAnsi"/>
          <w:lang w:val="es-AR"/>
        </w:rPr>
        <w:t xml:space="preserve"> </w:t>
      </w:r>
    </w:p>
    <w:p w14:paraId="3B0602F9" w14:textId="742B27D2" w:rsidR="00E413A2" w:rsidRPr="003F612F" w:rsidRDefault="00E413A2" w:rsidP="00762BF9">
      <w:pPr>
        <w:spacing w:after="240" w:line="276" w:lineRule="auto"/>
        <w:jc w:val="both"/>
        <w:rPr>
          <w:rFonts w:eastAsia="Times New Roman" w:cstheme="minorHAnsi"/>
          <w:b/>
          <w:bCs/>
          <w:i/>
          <w:u w:val="single"/>
          <w:lang w:val="es-AR"/>
        </w:rPr>
      </w:pPr>
      <w:r w:rsidRPr="003F612F">
        <w:rPr>
          <w:rFonts w:eastAsia="Times New Roman" w:cstheme="minorHAnsi"/>
          <w:b/>
          <w:bCs/>
          <w:lang w:val="es-AR"/>
        </w:rPr>
        <w:t xml:space="preserve"> </w:t>
      </w:r>
      <w:r w:rsidR="006052EF">
        <w:rPr>
          <w:rFonts w:eastAsia="Times New Roman" w:cstheme="minorHAnsi"/>
          <w:b/>
          <w:bCs/>
          <w:i/>
          <w:u w:val="single"/>
          <w:lang w:val="es-AR"/>
        </w:rPr>
        <w:t>Recomendaciones</w:t>
      </w:r>
      <w:r w:rsidR="006052EF" w:rsidRPr="003F612F">
        <w:rPr>
          <w:rFonts w:eastAsia="Times New Roman" w:cstheme="minorHAnsi"/>
          <w:b/>
          <w:bCs/>
          <w:i/>
          <w:u w:val="single"/>
          <w:lang w:val="es-AR"/>
        </w:rPr>
        <w:t xml:space="preserve"> </w:t>
      </w:r>
      <w:r w:rsidRPr="003F612F">
        <w:rPr>
          <w:rFonts w:eastAsia="Times New Roman" w:cstheme="minorHAnsi"/>
          <w:b/>
          <w:bCs/>
          <w:i/>
          <w:u w:val="single"/>
          <w:lang w:val="es-AR"/>
        </w:rPr>
        <w:t>sugeridas al Estado:</w:t>
      </w:r>
    </w:p>
    <w:p w14:paraId="72294565" w14:textId="056771F1" w:rsidR="006052EF" w:rsidRPr="00AB78F6" w:rsidRDefault="00CA3C37" w:rsidP="003C491C">
      <w:pPr>
        <w:pStyle w:val="Prrafodelista"/>
        <w:numPr>
          <w:ilvl w:val="0"/>
          <w:numId w:val="35"/>
        </w:numPr>
        <w:spacing w:after="240" w:line="276" w:lineRule="auto"/>
        <w:contextualSpacing w:val="0"/>
        <w:jc w:val="both"/>
        <w:rPr>
          <w:rFonts w:eastAsia="Times New Roman" w:cstheme="minorHAnsi"/>
          <w:iCs/>
        </w:rPr>
      </w:pPr>
      <w:r>
        <w:rPr>
          <w:rFonts w:eastAsia="Times New Roman" w:cstheme="minorHAnsi"/>
          <w:iCs/>
        </w:rPr>
        <w:t>Sancionar una nueva Ley de Actos Discriminatorios que promueva</w:t>
      </w:r>
      <w:r w:rsidR="006052EF" w:rsidRPr="00AB78F6">
        <w:rPr>
          <w:rFonts w:eastAsia="Times New Roman" w:cstheme="minorHAnsi"/>
          <w:iCs/>
        </w:rPr>
        <w:t xml:space="preserve"> la implementación de ajustes razonables para facilitar la participación de las PCD en los distintos ámbitos</w:t>
      </w:r>
      <w:r w:rsidR="00AB78F6" w:rsidRPr="00AB78F6">
        <w:rPr>
          <w:rFonts w:eastAsia="Times New Roman" w:cstheme="minorHAnsi"/>
          <w:iCs/>
        </w:rPr>
        <w:t xml:space="preserve"> </w:t>
      </w:r>
      <w:r w:rsidR="0022029E" w:rsidRPr="00AB78F6">
        <w:rPr>
          <w:rFonts w:eastAsia="Times New Roman" w:cstheme="minorHAnsi"/>
          <w:iCs/>
        </w:rPr>
        <w:t xml:space="preserve">y </w:t>
      </w:r>
      <w:r w:rsidR="00AB78F6" w:rsidRPr="00AB78F6">
        <w:rPr>
          <w:rFonts w:eastAsia="Times New Roman" w:cstheme="minorHAnsi"/>
          <w:iCs/>
        </w:rPr>
        <w:t>el reconocimiento de s</w:t>
      </w:r>
      <w:r w:rsidR="006052EF" w:rsidRPr="00AB78F6">
        <w:rPr>
          <w:rFonts w:eastAsia="Times New Roman" w:cstheme="minorHAnsi"/>
          <w:iCs/>
        </w:rPr>
        <w:t>u denegación como forma de discriminación.</w:t>
      </w:r>
    </w:p>
    <w:p w14:paraId="34581C11" w14:textId="6DF9BBCC" w:rsidR="006052EF" w:rsidRPr="00AB78F6" w:rsidRDefault="006052EF" w:rsidP="00AB78F6">
      <w:pPr>
        <w:pStyle w:val="Prrafodelista"/>
        <w:numPr>
          <w:ilvl w:val="0"/>
          <w:numId w:val="35"/>
        </w:numPr>
        <w:spacing w:after="240" w:line="276" w:lineRule="auto"/>
        <w:contextualSpacing w:val="0"/>
        <w:jc w:val="both"/>
        <w:rPr>
          <w:rFonts w:eastAsia="Times New Roman" w:cstheme="minorHAnsi"/>
          <w:iCs/>
          <w:lang w:val="es-AR"/>
        </w:rPr>
      </w:pPr>
      <w:r w:rsidRPr="00AB78F6">
        <w:rPr>
          <w:rFonts w:eastAsia="Times New Roman" w:cstheme="minorHAnsi"/>
          <w:iCs/>
          <w:lang w:val="es-AR"/>
        </w:rPr>
        <w:t xml:space="preserve">Implementar medidas para prevenir y sancionar la discriminación múltiple e </w:t>
      </w:r>
      <w:proofErr w:type="spellStart"/>
      <w:r w:rsidRPr="00AB78F6">
        <w:rPr>
          <w:rFonts w:eastAsia="Times New Roman" w:cstheme="minorHAnsi"/>
          <w:iCs/>
          <w:lang w:val="es-AR"/>
        </w:rPr>
        <w:t>interseccional</w:t>
      </w:r>
      <w:proofErr w:type="spellEnd"/>
      <w:r w:rsidRPr="00AB78F6">
        <w:rPr>
          <w:rFonts w:eastAsia="Times New Roman" w:cstheme="minorHAnsi"/>
          <w:iCs/>
          <w:lang w:val="es-AR"/>
        </w:rPr>
        <w:t xml:space="preserve"> en perjuicio de las PCD. </w:t>
      </w:r>
    </w:p>
    <w:p w14:paraId="20A66FEE" w14:textId="6F178A09" w:rsidR="0022029E" w:rsidRPr="00AB78F6" w:rsidRDefault="0022029E" w:rsidP="00AB78F6">
      <w:pPr>
        <w:pStyle w:val="Prrafodelista"/>
        <w:numPr>
          <w:ilvl w:val="0"/>
          <w:numId w:val="35"/>
        </w:numPr>
        <w:spacing w:after="240" w:line="276" w:lineRule="auto"/>
        <w:contextualSpacing w:val="0"/>
        <w:jc w:val="both"/>
        <w:rPr>
          <w:rFonts w:eastAsia="Times New Roman" w:cstheme="minorHAnsi"/>
          <w:iCs/>
          <w:lang w:val="es-AR"/>
        </w:rPr>
      </w:pPr>
      <w:r w:rsidRPr="00AB78F6">
        <w:rPr>
          <w:rFonts w:eastAsia="Times New Roman" w:cstheme="minorHAnsi"/>
          <w:iCs/>
          <w:lang w:val="es-ES_tradnl"/>
        </w:rPr>
        <w:t>Incorporar en el marco legislativo el concepto de ajustes razonables, y reconocer la denegación de ajustes razonables como discriminación por motivos de discapacidad.</w:t>
      </w:r>
    </w:p>
    <w:tbl>
      <w:tblPr>
        <w:tblStyle w:val="Tablaconcuadrcula"/>
        <w:tblW w:w="0" w:type="auto"/>
        <w:tblLook w:val="04A0" w:firstRow="1" w:lastRow="0" w:firstColumn="1" w:lastColumn="0" w:noHBand="0" w:noVBand="1"/>
      </w:tblPr>
      <w:tblGrid>
        <w:gridCol w:w="9736"/>
      </w:tblGrid>
      <w:tr w:rsidR="00D65210" w:rsidRPr="003F612F" w14:paraId="43F019A9" w14:textId="77777777" w:rsidTr="00D65210">
        <w:tc>
          <w:tcPr>
            <w:tcW w:w="9736" w:type="dxa"/>
            <w:shd w:val="clear" w:color="auto" w:fill="D5DCE4" w:themeFill="text2" w:themeFillTint="33"/>
          </w:tcPr>
          <w:p w14:paraId="7630A9D4" w14:textId="6EAACA89" w:rsidR="00D65210" w:rsidRPr="00370763" w:rsidRDefault="00D65210" w:rsidP="00762BF9">
            <w:pPr>
              <w:pStyle w:val="Ttulo2"/>
              <w:spacing w:line="276" w:lineRule="auto"/>
              <w:jc w:val="center"/>
              <w:outlineLvl w:val="1"/>
              <w:rPr>
                <w:rFonts w:asciiTheme="minorHAnsi" w:eastAsia="Times New Roman" w:hAnsiTheme="minorHAnsi" w:cstheme="minorHAnsi"/>
                <w:b/>
                <w:bCs/>
                <w:lang w:val="es-AR"/>
              </w:rPr>
            </w:pPr>
            <w:bookmarkStart w:id="7" w:name="_Toc124881434"/>
            <w:r w:rsidRPr="00370763">
              <w:rPr>
                <w:rFonts w:asciiTheme="minorHAnsi" w:eastAsia="Times New Roman" w:hAnsiTheme="minorHAnsi" w:cstheme="minorHAnsi"/>
                <w:b/>
                <w:bCs/>
                <w:color w:val="auto"/>
                <w:sz w:val="24"/>
                <w:szCs w:val="24"/>
                <w:lang w:val="es-AR"/>
              </w:rPr>
              <w:lastRenderedPageBreak/>
              <w:t>Artículo 6: Mujeres con discapacidad</w:t>
            </w:r>
            <w:bookmarkStart w:id="8" w:name="_Hlk123313091"/>
            <w:bookmarkEnd w:id="7"/>
          </w:p>
        </w:tc>
      </w:tr>
    </w:tbl>
    <w:bookmarkEnd w:id="8"/>
    <w:p w14:paraId="4D93D8AB" w14:textId="50D3ABF1" w:rsidR="00E413A2" w:rsidRDefault="00CA64FA" w:rsidP="00762BF9">
      <w:pPr>
        <w:pStyle w:val="Textonotapie"/>
        <w:spacing w:before="240" w:after="240" w:line="276" w:lineRule="auto"/>
        <w:ind w:firstLine="720"/>
        <w:jc w:val="both"/>
        <w:rPr>
          <w:rFonts w:cstheme="minorHAnsi"/>
          <w:sz w:val="22"/>
          <w:szCs w:val="22"/>
        </w:rPr>
      </w:pPr>
      <w:r w:rsidRPr="003F612F">
        <w:rPr>
          <w:rFonts w:cstheme="minorHAnsi"/>
          <w:sz w:val="22"/>
          <w:szCs w:val="22"/>
        </w:rPr>
        <w:t>E</w:t>
      </w:r>
      <w:r w:rsidR="00E413A2" w:rsidRPr="003F612F">
        <w:rPr>
          <w:rFonts w:cstheme="minorHAnsi"/>
          <w:sz w:val="22"/>
          <w:szCs w:val="22"/>
        </w:rPr>
        <w:t xml:space="preserve">l Plan Nacional </w:t>
      </w:r>
      <w:r w:rsidR="00C93DD7" w:rsidRPr="003F612F">
        <w:rPr>
          <w:rFonts w:cstheme="minorHAnsi"/>
          <w:sz w:val="22"/>
          <w:szCs w:val="22"/>
        </w:rPr>
        <w:t>de Acción contra las Violencias por Motivos de Género (2020-2022)</w:t>
      </w:r>
      <w:r w:rsidR="00C93DD7" w:rsidRPr="003F612F">
        <w:rPr>
          <w:rStyle w:val="Refdenotaalpie"/>
          <w:rFonts w:cstheme="minorHAnsi"/>
          <w:sz w:val="22"/>
          <w:szCs w:val="22"/>
        </w:rPr>
        <w:footnoteReference w:id="20"/>
      </w:r>
      <w:r w:rsidR="00C93DD7" w:rsidRPr="003F612F">
        <w:rPr>
          <w:rFonts w:cstheme="minorHAnsi"/>
          <w:sz w:val="22"/>
          <w:szCs w:val="22"/>
        </w:rPr>
        <w:t xml:space="preserve"> </w:t>
      </w:r>
      <w:r w:rsidR="00E413A2" w:rsidRPr="003F612F">
        <w:rPr>
          <w:rFonts w:cstheme="minorHAnsi"/>
          <w:sz w:val="22"/>
          <w:szCs w:val="22"/>
        </w:rPr>
        <w:t xml:space="preserve">y </w:t>
      </w:r>
      <w:r w:rsidR="000F082F" w:rsidRPr="003F612F">
        <w:rPr>
          <w:rFonts w:cstheme="minorHAnsi"/>
          <w:sz w:val="22"/>
          <w:szCs w:val="22"/>
        </w:rPr>
        <w:t xml:space="preserve">sus </w:t>
      </w:r>
      <w:r w:rsidR="00672F38">
        <w:rPr>
          <w:rFonts w:cstheme="minorHAnsi"/>
          <w:sz w:val="22"/>
          <w:szCs w:val="22"/>
        </w:rPr>
        <w:t>p</w:t>
      </w:r>
      <w:r w:rsidR="00E413A2" w:rsidRPr="003F612F">
        <w:rPr>
          <w:rFonts w:cstheme="minorHAnsi"/>
          <w:sz w:val="22"/>
          <w:szCs w:val="22"/>
        </w:rPr>
        <w:t>rogramas</w:t>
      </w:r>
      <w:r w:rsidR="00672F38">
        <w:rPr>
          <w:rFonts w:cstheme="minorHAnsi"/>
          <w:sz w:val="22"/>
          <w:szCs w:val="22"/>
        </w:rPr>
        <w:t xml:space="preserve"> </w:t>
      </w:r>
      <w:r w:rsidR="00E413A2" w:rsidRPr="003F612F">
        <w:rPr>
          <w:rFonts w:cstheme="minorHAnsi"/>
          <w:sz w:val="22"/>
          <w:szCs w:val="22"/>
        </w:rPr>
        <w:t xml:space="preserve">no </w:t>
      </w:r>
      <w:proofErr w:type="gramStart"/>
      <w:r w:rsidR="00E413A2" w:rsidRPr="003F612F">
        <w:rPr>
          <w:rFonts w:cstheme="minorHAnsi"/>
          <w:sz w:val="22"/>
          <w:szCs w:val="22"/>
        </w:rPr>
        <w:t>están</w:t>
      </w:r>
      <w:proofErr w:type="gramEnd"/>
      <w:r w:rsidR="00E413A2" w:rsidRPr="003F612F">
        <w:rPr>
          <w:rFonts w:cstheme="minorHAnsi"/>
          <w:sz w:val="22"/>
          <w:szCs w:val="22"/>
        </w:rPr>
        <w:t xml:space="preserve"> pensados en clave </w:t>
      </w:r>
      <w:proofErr w:type="spellStart"/>
      <w:r w:rsidR="00E413A2" w:rsidRPr="003F612F">
        <w:rPr>
          <w:rFonts w:cstheme="minorHAnsi"/>
          <w:sz w:val="22"/>
          <w:szCs w:val="22"/>
        </w:rPr>
        <w:t>interseccional</w:t>
      </w:r>
      <w:proofErr w:type="spellEnd"/>
      <w:r w:rsidR="00E413A2" w:rsidRPr="003F612F">
        <w:rPr>
          <w:rFonts w:cstheme="minorHAnsi"/>
          <w:sz w:val="22"/>
          <w:szCs w:val="22"/>
        </w:rPr>
        <w:t>, por lo que resultan inaccesibles para las mujeres con discapacidad</w:t>
      </w:r>
      <w:r w:rsidRPr="003F612F">
        <w:rPr>
          <w:rFonts w:cstheme="minorHAnsi"/>
          <w:sz w:val="22"/>
          <w:szCs w:val="22"/>
        </w:rPr>
        <w:t xml:space="preserve">. </w:t>
      </w:r>
      <w:r w:rsidR="00981AB1">
        <w:rPr>
          <w:rFonts w:cstheme="minorHAnsi"/>
          <w:sz w:val="22"/>
          <w:szCs w:val="22"/>
        </w:rPr>
        <w:t>E</w:t>
      </w:r>
      <w:r w:rsidR="00DB7C73" w:rsidRPr="003F612F">
        <w:rPr>
          <w:rFonts w:cstheme="minorHAnsi"/>
          <w:sz w:val="22"/>
          <w:szCs w:val="22"/>
        </w:rPr>
        <w:t>l Programa</w:t>
      </w:r>
      <w:r w:rsidR="00E413A2" w:rsidRPr="003F612F">
        <w:rPr>
          <w:rFonts w:cstheme="minorHAnsi"/>
          <w:sz w:val="22"/>
          <w:szCs w:val="22"/>
        </w:rPr>
        <w:t xml:space="preserve"> Apoyo Urgente y la Asistencia Integral Inmediata ante casos de Violencias Extremas por Motivos de Género</w:t>
      </w:r>
      <w:r w:rsidR="00DB7C73" w:rsidRPr="003F612F">
        <w:rPr>
          <w:rStyle w:val="Refdenotaalpie"/>
          <w:rFonts w:cstheme="minorHAnsi"/>
          <w:sz w:val="22"/>
          <w:szCs w:val="22"/>
        </w:rPr>
        <w:footnoteReference w:id="21"/>
      </w:r>
      <w:r w:rsidR="00E413A2" w:rsidRPr="003F612F">
        <w:rPr>
          <w:rFonts w:cstheme="minorHAnsi"/>
          <w:sz w:val="22"/>
          <w:szCs w:val="22"/>
        </w:rPr>
        <w:t xml:space="preserve"> </w:t>
      </w:r>
      <w:r w:rsidR="00DB7C73" w:rsidRPr="003F612F">
        <w:rPr>
          <w:rFonts w:cstheme="minorHAnsi"/>
          <w:sz w:val="22"/>
          <w:szCs w:val="22"/>
        </w:rPr>
        <w:t xml:space="preserve">y </w:t>
      </w:r>
      <w:r w:rsidR="00E413A2" w:rsidRPr="003F612F">
        <w:rPr>
          <w:rFonts w:cstheme="minorHAnsi"/>
          <w:sz w:val="22"/>
          <w:szCs w:val="22"/>
        </w:rPr>
        <w:t>el Programa de Fortalecimiento para Dispositivos Territoriales de Protección Integral de Personas en Contexto de Violencia por Motivos de Género</w:t>
      </w:r>
      <w:r w:rsidR="00DB7C73" w:rsidRPr="003F612F">
        <w:rPr>
          <w:rStyle w:val="Refdenotaalpie"/>
          <w:rFonts w:cstheme="minorHAnsi"/>
          <w:sz w:val="22"/>
          <w:szCs w:val="22"/>
        </w:rPr>
        <w:footnoteReference w:id="22"/>
      </w:r>
      <w:r w:rsidR="00E413A2" w:rsidRPr="003F612F">
        <w:rPr>
          <w:rFonts w:cstheme="minorHAnsi"/>
          <w:sz w:val="22"/>
          <w:szCs w:val="22"/>
        </w:rPr>
        <w:t xml:space="preserve"> carecen de perspectiva </w:t>
      </w:r>
      <w:proofErr w:type="spellStart"/>
      <w:r w:rsidR="00E413A2" w:rsidRPr="003F612F">
        <w:rPr>
          <w:rFonts w:cstheme="minorHAnsi"/>
          <w:sz w:val="22"/>
          <w:szCs w:val="22"/>
        </w:rPr>
        <w:t>interseccional</w:t>
      </w:r>
      <w:proofErr w:type="spellEnd"/>
      <w:r w:rsidR="00DB7C73" w:rsidRPr="003F612F">
        <w:rPr>
          <w:rFonts w:cstheme="minorHAnsi"/>
          <w:sz w:val="22"/>
          <w:szCs w:val="22"/>
        </w:rPr>
        <w:t xml:space="preserve">. En consecuencia, </w:t>
      </w:r>
      <w:r w:rsidR="00E413A2" w:rsidRPr="003F612F">
        <w:rPr>
          <w:rFonts w:cstheme="minorHAnsi"/>
          <w:sz w:val="22"/>
          <w:szCs w:val="22"/>
        </w:rPr>
        <w:t>mujeres con discapacidad encuentr</w:t>
      </w:r>
      <w:r w:rsidR="00DB7C73" w:rsidRPr="003F612F">
        <w:rPr>
          <w:rFonts w:cstheme="minorHAnsi"/>
          <w:sz w:val="22"/>
          <w:szCs w:val="22"/>
        </w:rPr>
        <w:t>a</w:t>
      </w:r>
      <w:r w:rsidR="00E413A2" w:rsidRPr="003F612F">
        <w:rPr>
          <w:rFonts w:cstheme="minorHAnsi"/>
          <w:sz w:val="22"/>
          <w:szCs w:val="22"/>
        </w:rPr>
        <w:t>n barreras arquitectónicas, comunicacionales y actitudinales para acceder a los mismos, dado que muchos de estos hogares y refugios no cuentan con la accesibilidad necesaria para que puedan acceder y permanecer en ellos.</w:t>
      </w:r>
      <w:r w:rsidR="00DB7C73" w:rsidRPr="003F612F">
        <w:rPr>
          <w:rFonts w:cstheme="minorHAnsi"/>
          <w:sz w:val="22"/>
          <w:szCs w:val="22"/>
        </w:rPr>
        <w:t xml:space="preserve"> Aunado a ello, n</w:t>
      </w:r>
      <w:r w:rsidR="00E413A2" w:rsidRPr="003F612F">
        <w:rPr>
          <w:rFonts w:cstheme="minorHAnsi"/>
          <w:sz w:val="22"/>
          <w:szCs w:val="22"/>
        </w:rPr>
        <w:t>o se brinda información apropiada</w:t>
      </w:r>
      <w:r w:rsidR="00672F38">
        <w:rPr>
          <w:rFonts w:cstheme="minorHAnsi"/>
          <w:sz w:val="22"/>
          <w:szCs w:val="22"/>
        </w:rPr>
        <w:t xml:space="preserve"> en formatos accesibles</w:t>
      </w:r>
      <w:r w:rsidR="00E413A2" w:rsidRPr="003F612F">
        <w:rPr>
          <w:rFonts w:cstheme="minorHAnsi"/>
          <w:sz w:val="22"/>
          <w:szCs w:val="22"/>
        </w:rPr>
        <w:t xml:space="preserve"> sobre cómo acceder a </w:t>
      </w:r>
      <w:r w:rsidR="000C6B24">
        <w:rPr>
          <w:rFonts w:cstheme="minorHAnsi"/>
          <w:sz w:val="22"/>
          <w:szCs w:val="22"/>
        </w:rPr>
        <w:t>estos</w:t>
      </w:r>
      <w:r w:rsidR="00E413A2" w:rsidRPr="003F612F">
        <w:rPr>
          <w:rFonts w:cstheme="minorHAnsi"/>
          <w:sz w:val="22"/>
          <w:szCs w:val="22"/>
        </w:rPr>
        <w:t xml:space="preserve"> y no existen requisitos de accesibilidad a cumplir por parte de quienes brindan este servicio</w:t>
      </w:r>
      <w:r w:rsidR="00DB7C73" w:rsidRPr="003F612F">
        <w:rPr>
          <w:rFonts w:cstheme="minorHAnsi"/>
          <w:sz w:val="22"/>
          <w:szCs w:val="22"/>
        </w:rPr>
        <w:t xml:space="preserve">. </w:t>
      </w:r>
      <w:r w:rsidR="007929D8">
        <w:t>Asimismo,</w:t>
      </w:r>
      <w:r w:rsidR="007929D8">
        <w:t xml:space="preserve"> el Programa Acompañar no es compatible con la percepción de pensiones no contributivas.</w:t>
      </w:r>
    </w:p>
    <w:p w14:paraId="71242FC0" w14:textId="77777777" w:rsidR="00FF68A9" w:rsidRPr="002E75BF" w:rsidRDefault="00FF68A9" w:rsidP="00762BF9">
      <w:pPr>
        <w:pStyle w:val="Textonotapie"/>
        <w:spacing w:after="240" w:line="276" w:lineRule="auto"/>
        <w:ind w:firstLine="720"/>
        <w:jc w:val="both"/>
        <w:rPr>
          <w:rFonts w:cstheme="minorHAnsi"/>
          <w:sz w:val="22"/>
          <w:szCs w:val="22"/>
          <w:lang w:val="es"/>
        </w:rPr>
      </w:pPr>
      <w:r>
        <w:rPr>
          <w:rFonts w:cstheme="minorHAnsi"/>
          <w:sz w:val="22"/>
          <w:szCs w:val="22"/>
        </w:rPr>
        <w:t>Por su parte, l</w:t>
      </w:r>
      <w:r w:rsidRPr="003F612F">
        <w:rPr>
          <w:rFonts w:cstheme="minorHAnsi"/>
          <w:sz w:val="22"/>
          <w:szCs w:val="22"/>
        </w:rPr>
        <w:t xml:space="preserve">a </w:t>
      </w:r>
      <w:r w:rsidRPr="003F612F">
        <w:rPr>
          <w:rFonts w:cstheme="minorHAnsi"/>
          <w:sz w:val="22"/>
          <w:szCs w:val="22"/>
          <w:lang w:val="es"/>
        </w:rPr>
        <w:t>Ley 27.610</w:t>
      </w:r>
      <w:r w:rsidRPr="003F612F">
        <w:rPr>
          <w:rFonts w:cstheme="minorHAnsi"/>
          <w:sz w:val="22"/>
          <w:szCs w:val="22"/>
          <w:vertAlign w:val="superscript"/>
          <w:lang w:val="es"/>
        </w:rPr>
        <w:footnoteReference w:id="23"/>
      </w:r>
      <w:r w:rsidRPr="003F612F">
        <w:rPr>
          <w:rFonts w:cstheme="minorHAnsi"/>
          <w:sz w:val="22"/>
          <w:szCs w:val="22"/>
          <w:lang w:val="es"/>
        </w:rPr>
        <w:t xml:space="preserve"> que regula el acceso a la Interrupción Voluntaria del Embarazo expresa una grave vulneración a los derechos de las PCD restringida (según el Art. 38 del </w:t>
      </w:r>
      <w:proofErr w:type="spellStart"/>
      <w:r w:rsidRPr="003F612F">
        <w:rPr>
          <w:rFonts w:cstheme="minorHAnsi"/>
          <w:sz w:val="22"/>
          <w:szCs w:val="22"/>
          <w:lang w:val="es"/>
        </w:rPr>
        <w:t>CCyC</w:t>
      </w:r>
      <w:proofErr w:type="spellEnd"/>
      <w:r w:rsidRPr="003F612F">
        <w:rPr>
          <w:rFonts w:cstheme="minorHAnsi"/>
          <w:sz w:val="22"/>
          <w:szCs w:val="22"/>
          <w:lang w:val="es"/>
        </w:rPr>
        <w:t xml:space="preserve">) o personas declaradas incapaces judicialmente (en virtud del Art. 32 del </w:t>
      </w:r>
      <w:proofErr w:type="spellStart"/>
      <w:r w:rsidRPr="003F612F">
        <w:rPr>
          <w:rFonts w:cstheme="minorHAnsi"/>
          <w:sz w:val="22"/>
          <w:szCs w:val="22"/>
          <w:lang w:val="es"/>
        </w:rPr>
        <w:t>CCyC</w:t>
      </w:r>
      <w:proofErr w:type="spellEnd"/>
      <w:r w:rsidRPr="003F612F">
        <w:rPr>
          <w:rFonts w:cstheme="minorHAnsi"/>
          <w:sz w:val="22"/>
          <w:szCs w:val="22"/>
          <w:lang w:val="es"/>
        </w:rPr>
        <w:t>). Dicho artículo detalla que en ambos casos el consentimiento para llevar a cabo la interrupción del embarazo deberá ser prestado por la persona designada o nombrada representante o, a falta o ausencia de esta, por una persona allegada. También expresa que en ningún caso se deberá solicitar autorización judicial para acceder a la interrupción, pero no incluye, como fue solicitado por el colectivo de PCD, que debe solicitarse siempre el consentimiento informado de la persona g</w:t>
      </w:r>
      <w:r w:rsidRPr="002E75BF">
        <w:rPr>
          <w:rFonts w:cstheme="minorHAnsi"/>
          <w:sz w:val="22"/>
          <w:szCs w:val="22"/>
          <w:lang w:val="es"/>
        </w:rPr>
        <w:t xml:space="preserve">estante. </w:t>
      </w:r>
    </w:p>
    <w:p w14:paraId="25CF5FE4" w14:textId="11C5EB24" w:rsidR="00E413A2" w:rsidRPr="003F612F" w:rsidRDefault="00313A43" w:rsidP="00762BF9">
      <w:pPr>
        <w:spacing w:after="240" w:line="276" w:lineRule="auto"/>
        <w:jc w:val="both"/>
        <w:rPr>
          <w:rFonts w:eastAsia="Times New Roman" w:cstheme="minorHAnsi"/>
          <w:b/>
          <w:i/>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sugeridas al Estado</w:t>
      </w:r>
      <w:r w:rsidR="00E413A2" w:rsidRPr="003F612F">
        <w:rPr>
          <w:rFonts w:eastAsia="Times New Roman" w:cstheme="minorHAnsi"/>
          <w:b/>
          <w:i/>
          <w:lang w:val="es-AR"/>
        </w:rPr>
        <w:t>:</w:t>
      </w:r>
    </w:p>
    <w:p w14:paraId="3ED5A46B" w14:textId="0EDA49EC" w:rsidR="0022029E" w:rsidRPr="00E12F01" w:rsidRDefault="0022029E" w:rsidP="00E12F01">
      <w:pPr>
        <w:pStyle w:val="Prrafodelista"/>
        <w:numPr>
          <w:ilvl w:val="0"/>
          <w:numId w:val="37"/>
        </w:numPr>
        <w:spacing w:after="240" w:line="276" w:lineRule="auto"/>
        <w:ind w:left="714" w:hanging="357"/>
        <w:contextualSpacing w:val="0"/>
        <w:jc w:val="both"/>
        <w:rPr>
          <w:rFonts w:eastAsia="Times New Roman" w:cstheme="minorHAnsi"/>
          <w:iCs/>
          <w:lang w:val="es-AR"/>
        </w:rPr>
      </w:pPr>
      <w:r w:rsidRPr="00E12F01">
        <w:rPr>
          <w:rFonts w:eastAsia="Times New Roman" w:cstheme="minorHAnsi"/>
          <w:b/>
          <w:bCs/>
          <w:iCs/>
        </w:rPr>
        <w:t>Recomendación urgente:</w:t>
      </w:r>
      <w:r w:rsidRPr="00E12F01">
        <w:rPr>
          <w:rFonts w:eastAsia="Times New Roman" w:cstheme="minorHAnsi"/>
          <w:iCs/>
        </w:rPr>
        <w:t xml:space="preserve"> Compatibilizar el Programa Acompañar con las pensiones no contributivas. </w:t>
      </w:r>
    </w:p>
    <w:p w14:paraId="75A642E2" w14:textId="77777777" w:rsidR="00462CA6" w:rsidRPr="00E12F01" w:rsidRDefault="00462CA6" w:rsidP="00E12F01">
      <w:pPr>
        <w:pStyle w:val="Prrafodelista"/>
        <w:numPr>
          <w:ilvl w:val="0"/>
          <w:numId w:val="37"/>
        </w:numPr>
        <w:spacing w:after="240" w:line="276" w:lineRule="auto"/>
        <w:ind w:left="714" w:hanging="357"/>
        <w:contextualSpacing w:val="0"/>
        <w:jc w:val="both"/>
        <w:rPr>
          <w:rFonts w:eastAsia="Times New Roman" w:cstheme="minorHAnsi"/>
          <w:iCs/>
          <w:lang w:val="es-AR"/>
        </w:rPr>
      </w:pPr>
      <w:r w:rsidRPr="00E12F01">
        <w:rPr>
          <w:rFonts w:eastAsia="Times New Roman" w:cstheme="minorHAnsi"/>
          <w:iCs/>
        </w:rPr>
        <w:t>Hacer accesibles e incorporar perspectiva de discapacidad a la red de hogares, refugios y dispositivos del Programa de Fortalecimiento para Dispositivos Territoriales de Protección Integral de Personas en Contexto de Violencia por Motivos de Género.</w:t>
      </w:r>
    </w:p>
    <w:p w14:paraId="7D9D1A12" w14:textId="3A554E36" w:rsidR="0022029E" w:rsidRPr="00E12F01" w:rsidRDefault="0022029E" w:rsidP="00E12F01">
      <w:pPr>
        <w:pStyle w:val="Prrafodelista"/>
        <w:numPr>
          <w:ilvl w:val="0"/>
          <w:numId w:val="37"/>
        </w:numPr>
        <w:spacing w:after="240" w:line="276" w:lineRule="auto"/>
        <w:ind w:left="714" w:hanging="357"/>
        <w:contextualSpacing w:val="0"/>
        <w:jc w:val="both"/>
        <w:rPr>
          <w:rFonts w:eastAsia="Times New Roman" w:cstheme="minorHAnsi"/>
          <w:iCs/>
          <w:lang w:val="es-AR"/>
        </w:rPr>
      </w:pPr>
      <w:r w:rsidRPr="00E12F01">
        <w:rPr>
          <w:rFonts w:eastAsia="Times New Roman" w:cstheme="minorHAnsi"/>
          <w:iCs/>
        </w:rPr>
        <w:t xml:space="preserve">Implementar, en la legislación y en programas específicos para mujeres, una estrategia de </w:t>
      </w:r>
      <w:proofErr w:type="spellStart"/>
      <w:r w:rsidRPr="00E12F01">
        <w:rPr>
          <w:rFonts w:eastAsia="Times New Roman" w:cstheme="minorHAnsi"/>
          <w:iCs/>
        </w:rPr>
        <w:t>transversalización</w:t>
      </w:r>
      <w:proofErr w:type="spellEnd"/>
      <w:r w:rsidRPr="00E12F01">
        <w:rPr>
          <w:rFonts w:eastAsia="Times New Roman" w:cstheme="minorHAnsi"/>
          <w:iCs/>
        </w:rPr>
        <w:t xml:space="preserve"> del enfoque de género y discapacidad, sobre todo en lo que respecta a las violencias contra niñas y mujeres con discapacidad</w:t>
      </w:r>
    </w:p>
    <w:p w14:paraId="24EB29E9" w14:textId="569718BE" w:rsidR="00E42AE3" w:rsidRPr="00E12F01" w:rsidRDefault="00E42AE3" w:rsidP="00E12F01">
      <w:pPr>
        <w:pStyle w:val="Prrafodelista"/>
        <w:numPr>
          <w:ilvl w:val="0"/>
          <w:numId w:val="37"/>
        </w:numPr>
        <w:spacing w:after="240" w:line="276" w:lineRule="auto"/>
        <w:ind w:left="714" w:hanging="357"/>
        <w:contextualSpacing w:val="0"/>
        <w:jc w:val="both"/>
        <w:rPr>
          <w:rFonts w:eastAsia="Times New Roman" w:cstheme="minorHAnsi"/>
          <w:iCs/>
          <w:lang w:val="es-AR"/>
        </w:rPr>
      </w:pPr>
      <w:r w:rsidRPr="00E12F01">
        <w:rPr>
          <w:rFonts w:eastAsia="Times New Roman" w:cstheme="minorHAnsi"/>
          <w:iCs/>
          <w:lang w:val="es-AR"/>
        </w:rPr>
        <w:lastRenderedPageBreak/>
        <w:t>Promover medidas afirmativas que propicien la inclusión laboral y educativa de las mujeres.</w:t>
      </w:r>
    </w:p>
    <w:p w14:paraId="66E830D3" w14:textId="4CC6364D" w:rsidR="00FF68A9" w:rsidRPr="00E12F01" w:rsidRDefault="00FF68A9" w:rsidP="00E12F01">
      <w:pPr>
        <w:pStyle w:val="Prrafodelista"/>
        <w:numPr>
          <w:ilvl w:val="0"/>
          <w:numId w:val="37"/>
        </w:numPr>
        <w:spacing w:after="240" w:line="276" w:lineRule="auto"/>
        <w:ind w:left="714" w:hanging="357"/>
        <w:contextualSpacing w:val="0"/>
        <w:jc w:val="both"/>
        <w:rPr>
          <w:rFonts w:eastAsia="Times New Roman" w:cstheme="minorHAnsi"/>
          <w:iCs/>
          <w:lang w:val="es-AR"/>
        </w:rPr>
      </w:pPr>
      <w:r w:rsidRPr="00E12F01">
        <w:rPr>
          <w:rFonts w:eastAsia="Times New Roman" w:cstheme="minorHAnsi"/>
          <w:iCs/>
          <w:lang w:val="es-AR"/>
        </w:rPr>
        <w:t>Garantizar los apoyos en el acceso a la interrupción voluntaria y legal del embarazo para personas gestantes con discapacidad.</w:t>
      </w:r>
    </w:p>
    <w:tbl>
      <w:tblPr>
        <w:tblStyle w:val="Tablaconcuadrcula"/>
        <w:tblW w:w="0" w:type="auto"/>
        <w:tblLook w:val="04A0" w:firstRow="1" w:lastRow="0" w:firstColumn="1" w:lastColumn="0" w:noHBand="0" w:noVBand="1"/>
      </w:tblPr>
      <w:tblGrid>
        <w:gridCol w:w="9736"/>
      </w:tblGrid>
      <w:tr w:rsidR="00AD7597" w14:paraId="2D9828AD" w14:textId="77777777" w:rsidTr="00AD7597">
        <w:tc>
          <w:tcPr>
            <w:tcW w:w="9736" w:type="dxa"/>
            <w:shd w:val="clear" w:color="auto" w:fill="D5DCE4" w:themeFill="text2" w:themeFillTint="33"/>
          </w:tcPr>
          <w:p w14:paraId="3E03A9DC" w14:textId="3000D1D1" w:rsidR="00AD7597" w:rsidRPr="00AD7597" w:rsidRDefault="00AD7597" w:rsidP="00762BF9">
            <w:pPr>
              <w:pStyle w:val="Ttulo2"/>
              <w:spacing w:line="276" w:lineRule="auto"/>
              <w:jc w:val="center"/>
              <w:outlineLvl w:val="1"/>
              <w:rPr>
                <w:rFonts w:asciiTheme="minorHAnsi" w:eastAsia="Times New Roman" w:hAnsiTheme="minorHAnsi" w:cstheme="minorHAnsi"/>
                <w:b/>
                <w:bCs/>
                <w:lang w:val="es-AR"/>
              </w:rPr>
            </w:pPr>
            <w:bookmarkStart w:id="9" w:name="_Toc124881435"/>
            <w:r w:rsidRPr="00AD7597">
              <w:rPr>
                <w:rFonts w:asciiTheme="minorHAnsi" w:eastAsia="Times New Roman" w:hAnsiTheme="minorHAnsi" w:cstheme="minorHAnsi"/>
                <w:b/>
                <w:bCs/>
                <w:color w:val="auto"/>
                <w:sz w:val="24"/>
                <w:szCs w:val="24"/>
                <w:lang w:val="es-AR"/>
              </w:rPr>
              <w:t>Artículo 7: Niños</w:t>
            </w:r>
            <w:r w:rsidR="008C6FDB">
              <w:rPr>
                <w:rFonts w:asciiTheme="minorHAnsi" w:eastAsia="Times New Roman" w:hAnsiTheme="minorHAnsi" w:cstheme="minorHAnsi"/>
                <w:b/>
                <w:bCs/>
                <w:color w:val="auto"/>
                <w:sz w:val="24"/>
                <w:szCs w:val="24"/>
                <w:lang w:val="es-AR"/>
              </w:rPr>
              <w:t xml:space="preserve">, </w:t>
            </w:r>
            <w:r w:rsidRPr="00AD7597">
              <w:rPr>
                <w:rFonts w:asciiTheme="minorHAnsi" w:eastAsia="Times New Roman" w:hAnsiTheme="minorHAnsi" w:cstheme="minorHAnsi"/>
                <w:b/>
                <w:bCs/>
                <w:color w:val="auto"/>
                <w:sz w:val="24"/>
                <w:szCs w:val="24"/>
                <w:lang w:val="es-AR"/>
              </w:rPr>
              <w:t>Niñas</w:t>
            </w:r>
            <w:r w:rsidR="008C6FDB">
              <w:rPr>
                <w:rFonts w:asciiTheme="minorHAnsi" w:eastAsia="Times New Roman" w:hAnsiTheme="minorHAnsi" w:cstheme="minorHAnsi"/>
                <w:b/>
                <w:bCs/>
                <w:color w:val="auto"/>
                <w:sz w:val="24"/>
                <w:szCs w:val="24"/>
                <w:lang w:val="es-AR"/>
              </w:rPr>
              <w:t xml:space="preserve"> y Adolescentes</w:t>
            </w:r>
            <w:bookmarkEnd w:id="9"/>
          </w:p>
        </w:tc>
      </w:tr>
    </w:tbl>
    <w:p w14:paraId="50A281AC" w14:textId="0597EA0C" w:rsidR="00E413A2" w:rsidRPr="003F612F" w:rsidRDefault="00D26B55" w:rsidP="00762BF9">
      <w:pPr>
        <w:spacing w:before="240" w:after="240" w:line="276" w:lineRule="auto"/>
        <w:ind w:firstLine="720"/>
        <w:jc w:val="both"/>
        <w:rPr>
          <w:rFonts w:eastAsia="Times New Roman" w:cstheme="minorHAnsi"/>
          <w:lang w:val="es-AR"/>
        </w:rPr>
      </w:pPr>
      <w:r>
        <w:rPr>
          <w:rFonts w:eastAsia="Times New Roman" w:cstheme="minorHAnsi"/>
          <w:lang w:val="es-AR"/>
        </w:rPr>
        <w:t>La L</w:t>
      </w:r>
      <w:r w:rsidR="00CA43F6">
        <w:rPr>
          <w:rFonts w:eastAsia="Times New Roman" w:cstheme="minorHAnsi"/>
          <w:lang w:val="es-AR"/>
        </w:rPr>
        <w:t xml:space="preserve">ey </w:t>
      </w:r>
      <w:r w:rsidR="00057778">
        <w:rPr>
          <w:rFonts w:eastAsia="Times New Roman" w:cstheme="minorHAnsi"/>
          <w:lang w:val="es-AR"/>
        </w:rPr>
        <w:t>de Protección de Niñas, Niños y Adolescentes</w:t>
      </w:r>
      <w:r w:rsidR="00067A51">
        <w:rPr>
          <w:rStyle w:val="Refdenotaalpie"/>
          <w:rFonts w:eastAsia="Times New Roman" w:cstheme="minorHAnsi"/>
          <w:lang w:val="es-AR"/>
        </w:rPr>
        <w:footnoteReference w:id="24"/>
      </w:r>
      <w:r w:rsidR="00057778">
        <w:rPr>
          <w:rFonts w:eastAsia="Times New Roman" w:cstheme="minorHAnsi"/>
          <w:lang w:val="es-AR"/>
        </w:rPr>
        <w:t xml:space="preserve"> </w:t>
      </w:r>
      <w:proofErr w:type="gramStart"/>
      <w:r w:rsidR="00057778">
        <w:rPr>
          <w:rFonts w:eastAsia="Times New Roman" w:cstheme="minorHAnsi"/>
          <w:lang w:val="es-AR"/>
        </w:rPr>
        <w:t>continua</w:t>
      </w:r>
      <w:proofErr w:type="gramEnd"/>
      <w:r w:rsidR="00057778">
        <w:rPr>
          <w:rFonts w:eastAsia="Times New Roman" w:cstheme="minorHAnsi"/>
          <w:lang w:val="es-AR"/>
        </w:rPr>
        <w:t xml:space="preserve"> sin tener perspectiva de discapacidad.</w:t>
      </w:r>
      <w:r w:rsidR="00E413A2" w:rsidRPr="003F612F">
        <w:rPr>
          <w:rFonts w:eastAsia="Times New Roman" w:cstheme="minorHAnsi"/>
          <w:lang w:val="es-AR"/>
        </w:rPr>
        <w:t xml:space="preserve">, </w:t>
      </w:r>
      <w:r w:rsidR="00067A51">
        <w:rPr>
          <w:rFonts w:eastAsia="Times New Roman" w:cstheme="minorHAnsi"/>
          <w:lang w:val="es-AR"/>
        </w:rPr>
        <w:t>P</w:t>
      </w:r>
      <w:r w:rsidR="00E413A2" w:rsidRPr="003F612F">
        <w:rPr>
          <w:rFonts w:eastAsia="Times New Roman" w:cstheme="minorHAnsi"/>
          <w:lang w:val="es-AR"/>
        </w:rPr>
        <w:t>ersisten los reclamos judiciales</w:t>
      </w:r>
      <w:r w:rsidR="005B1C4E" w:rsidRPr="003F612F">
        <w:rPr>
          <w:rFonts w:eastAsia="Times New Roman" w:cstheme="minorHAnsi"/>
          <w:lang w:val="es-AR"/>
        </w:rPr>
        <w:t xml:space="preserve"> </w:t>
      </w:r>
      <w:r w:rsidR="00E413A2" w:rsidRPr="003F612F">
        <w:rPr>
          <w:rFonts w:eastAsia="Times New Roman" w:cstheme="minorHAnsi"/>
          <w:lang w:val="es-AR"/>
        </w:rPr>
        <w:t xml:space="preserve">a través de acciones de amparo para garantizar la asistencia adecuada </w:t>
      </w:r>
      <w:r w:rsidR="006A0CE3">
        <w:rPr>
          <w:rFonts w:eastAsia="Times New Roman" w:cstheme="minorHAnsi"/>
          <w:lang w:val="es-AR"/>
        </w:rPr>
        <w:t>la</w:t>
      </w:r>
      <w:r w:rsidR="00E413A2" w:rsidRPr="003F612F">
        <w:rPr>
          <w:rFonts w:eastAsia="Times New Roman" w:cstheme="minorHAnsi"/>
          <w:lang w:val="es-AR"/>
        </w:rPr>
        <w:t xml:space="preserve"> discapacida</w:t>
      </w:r>
      <w:r w:rsidR="002E46E9" w:rsidRPr="003F612F">
        <w:rPr>
          <w:rFonts w:eastAsia="Times New Roman" w:cstheme="minorHAnsi"/>
          <w:lang w:val="es-AR"/>
        </w:rPr>
        <w:t xml:space="preserve">d </w:t>
      </w:r>
      <w:r w:rsidR="006A0CE3">
        <w:rPr>
          <w:rFonts w:eastAsia="Times New Roman" w:cstheme="minorHAnsi"/>
          <w:lang w:val="es-AR"/>
        </w:rPr>
        <w:t xml:space="preserve">de </w:t>
      </w:r>
      <w:r w:rsidR="00067A51">
        <w:rPr>
          <w:rFonts w:eastAsia="Times New Roman" w:cstheme="minorHAnsi"/>
          <w:lang w:val="es-AR"/>
        </w:rPr>
        <w:t xml:space="preserve">las infancias </w:t>
      </w:r>
      <w:r w:rsidR="002E46E9" w:rsidRPr="003F612F">
        <w:rPr>
          <w:rFonts w:eastAsia="Times New Roman" w:cstheme="minorHAnsi"/>
          <w:lang w:val="es-AR"/>
        </w:rPr>
        <w:t xml:space="preserve">como también existe una notoria falta de garantía para acceder al sistema general de educación. </w:t>
      </w:r>
      <w:r w:rsidR="00F2047C" w:rsidRPr="003F612F">
        <w:rPr>
          <w:rFonts w:eastAsia="Times New Roman" w:cstheme="minorHAnsi"/>
          <w:lang w:val="es-AR"/>
        </w:rPr>
        <w:t>La situación de pobreza, requiere de parte del Estado implementar medidas que procuren para las familias un nivel adecuado de seguridad económica, acceso a recursos y a servicios básicos como la salud, la nutrición y la educación y mecanismos</w:t>
      </w:r>
      <w:r w:rsidR="002E46E9" w:rsidRPr="003F612F">
        <w:rPr>
          <w:rFonts w:eastAsia="Times New Roman" w:cstheme="minorHAnsi"/>
          <w:lang w:val="es-AR"/>
        </w:rPr>
        <w:t xml:space="preserve"> de cuidado que apoyen el rol de las familias</w:t>
      </w:r>
      <w:r w:rsidR="00F2047C" w:rsidRPr="003F612F">
        <w:rPr>
          <w:rFonts w:eastAsia="Times New Roman" w:cstheme="minorHAnsi"/>
          <w:lang w:val="es-AR"/>
        </w:rPr>
        <w:t xml:space="preserve"> para garantizar la bu</w:t>
      </w:r>
      <w:r w:rsidR="00E413A2" w:rsidRPr="003F612F">
        <w:rPr>
          <w:rFonts w:eastAsia="Times New Roman" w:cstheme="minorHAnsi"/>
          <w:lang w:val="es-AR"/>
        </w:rPr>
        <w:t>ena atención y oportunidades de desarrollo durante la primera</w:t>
      </w:r>
      <w:r w:rsidR="00F2047C" w:rsidRPr="003F612F">
        <w:rPr>
          <w:rFonts w:eastAsia="Times New Roman" w:cstheme="minorHAnsi"/>
          <w:lang w:val="es-AR"/>
        </w:rPr>
        <w:t xml:space="preserve"> infancia. </w:t>
      </w:r>
    </w:p>
    <w:p w14:paraId="58B4B163" w14:textId="4DED18B2" w:rsidR="00ED5373" w:rsidRPr="003F612F" w:rsidRDefault="00537DD3" w:rsidP="00762BF9">
      <w:pPr>
        <w:spacing w:after="240" w:line="276" w:lineRule="auto"/>
        <w:ind w:firstLine="720"/>
        <w:jc w:val="both"/>
        <w:rPr>
          <w:rFonts w:cstheme="minorHAnsi"/>
          <w:u w:val="single"/>
          <w:lang w:val="es-AR"/>
        </w:rPr>
      </w:pPr>
      <w:r w:rsidRPr="003F612F">
        <w:rPr>
          <w:rFonts w:cstheme="minorHAnsi"/>
          <w:lang w:val="es-AR"/>
        </w:rPr>
        <w:t>L</w:t>
      </w:r>
      <w:r w:rsidR="00ED5373" w:rsidRPr="003F612F">
        <w:rPr>
          <w:rFonts w:cstheme="minorHAnsi"/>
          <w:lang w:val="es-AR"/>
        </w:rPr>
        <w:t xml:space="preserve">as infancias y adolescencias con discapacidad siguen teniendo </w:t>
      </w:r>
      <w:r w:rsidR="00AD7597">
        <w:rPr>
          <w:rFonts w:cstheme="minorHAnsi"/>
          <w:lang w:val="es-AR"/>
        </w:rPr>
        <w:t xml:space="preserve">una </w:t>
      </w:r>
      <w:r w:rsidR="00ED5373" w:rsidRPr="003F612F">
        <w:rPr>
          <w:rFonts w:cstheme="minorHAnsi"/>
          <w:lang w:val="es-AR"/>
        </w:rPr>
        <w:t>vida segregada, circunscrita a sus domicilios o a las instituciones</w:t>
      </w:r>
      <w:r w:rsidR="00F2047C" w:rsidRPr="003F612F">
        <w:rPr>
          <w:rStyle w:val="Refdenotaalpie"/>
          <w:rFonts w:cstheme="minorHAnsi"/>
          <w:lang w:val="es-AR"/>
        </w:rPr>
        <w:footnoteReference w:id="25"/>
      </w:r>
      <w:r w:rsidR="00ED5373" w:rsidRPr="003F612F">
        <w:rPr>
          <w:rFonts w:cstheme="minorHAnsi"/>
          <w:lang w:val="es-AR"/>
        </w:rPr>
        <w:t xml:space="preserve"> que las albergan</w:t>
      </w:r>
      <w:r w:rsidR="00F2047C" w:rsidRPr="003F612F">
        <w:rPr>
          <w:rFonts w:cstheme="minorHAnsi"/>
          <w:lang w:val="es-AR"/>
        </w:rPr>
        <w:t>. A</w:t>
      </w:r>
      <w:r w:rsidR="00ED5373" w:rsidRPr="003F612F">
        <w:rPr>
          <w:rFonts w:cstheme="minorHAnsi"/>
          <w:lang w:val="es-AR"/>
        </w:rPr>
        <w:t xml:space="preserve">unque los edificios escolares de algunas localidades incorporan mejoras integrales y en proyectos de obra nueva se observan soluciones de accesibilidad básica, el transporte y los itinerarios del entorno continúan siendo inaccesibles.  </w:t>
      </w:r>
    </w:p>
    <w:p w14:paraId="201108B3" w14:textId="23B1A386" w:rsidR="00E413A2" w:rsidRPr="00AD7597" w:rsidRDefault="00AC3AE2" w:rsidP="00762BF9">
      <w:pPr>
        <w:spacing w:after="240" w:line="276" w:lineRule="auto"/>
        <w:jc w:val="both"/>
        <w:rPr>
          <w:rFonts w:eastAsia="Times New Roman" w:cstheme="minorHAnsi"/>
          <w:b/>
          <w:bCs/>
          <w:i/>
          <w:u w:val="single"/>
          <w:lang w:val="es-AR"/>
        </w:rPr>
      </w:pPr>
      <w:bookmarkStart w:id="10" w:name="_ovbjdt1f20v9" w:colFirst="0" w:colLast="0"/>
      <w:bookmarkEnd w:id="10"/>
      <w:r>
        <w:rPr>
          <w:rFonts w:eastAsia="Times New Roman" w:cstheme="minorHAnsi"/>
          <w:b/>
          <w:bCs/>
          <w:i/>
          <w:u w:val="single"/>
          <w:lang w:val="es-AR"/>
        </w:rPr>
        <w:t>Recomendaciones</w:t>
      </w:r>
      <w:r w:rsidRPr="00AD7597">
        <w:rPr>
          <w:rFonts w:eastAsia="Times New Roman" w:cstheme="minorHAnsi"/>
          <w:b/>
          <w:bCs/>
          <w:i/>
          <w:u w:val="single"/>
          <w:lang w:val="es-AR"/>
        </w:rPr>
        <w:t xml:space="preserve"> </w:t>
      </w:r>
      <w:r w:rsidR="00E413A2" w:rsidRPr="00AD7597">
        <w:rPr>
          <w:rFonts w:eastAsia="Times New Roman" w:cstheme="minorHAnsi"/>
          <w:b/>
          <w:bCs/>
          <w:i/>
          <w:u w:val="single"/>
          <w:lang w:val="es-AR"/>
        </w:rPr>
        <w:t>sugeridas al Estado:</w:t>
      </w:r>
    </w:p>
    <w:p w14:paraId="3D8460FF" w14:textId="2475597C" w:rsidR="00861C16" w:rsidRDefault="001434F3" w:rsidP="00762BF9">
      <w:pPr>
        <w:pStyle w:val="Prrafodelista"/>
        <w:numPr>
          <w:ilvl w:val="0"/>
          <w:numId w:val="26"/>
        </w:numPr>
        <w:spacing w:after="240" w:line="276" w:lineRule="auto"/>
        <w:jc w:val="both"/>
        <w:rPr>
          <w:rFonts w:eastAsia="Times New Roman" w:cstheme="minorHAnsi"/>
          <w:iCs/>
        </w:rPr>
      </w:pPr>
      <w:r>
        <w:rPr>
          <w:rFonts w:eastAsia="Times New Roman" w:cstheme="minorHAnsi"/>
          <w:iCs/>
        </w:rPr>
        <w:t>Realizar la armonización de la Ley de Protección de Niñas, Niños y Adolescente con la Convención.</w:t>
      </w:r>
    </w:p>
    <w:p w14:paraId="1A89F38D" w14:textId="77777777" w:rsidR="00861C16" w:rsidRPr="006D4361" w:rsidRDefault="00861C16" w:rsidP="00762BF9">
      <w:pPr>
        <w:pStyle w:val="Prrafodelista"/>
        <w:spacing w:after="240" w:line="276" w:lineRule="auto"/>
        <w:jc w:val="both"/>
        <w:rPr>
          <w:rFonts w:eastAsia="Times New Roman" w:cstheme="minorHAnsi"/>
          <w:iCs/>
        </w:rPr>
      </w:pPr>
    </w:p>
    <w:p w14:paraId="395124B1" w14:textId="77DF7B29" w:rsidR="00861C16" w:rsidRPr="001C63A5" w:rsidRDefault="00861C16" w:rsidP="00762BF9">
      <w:pPr>
        <w:pStyle w:val="Prrafodelista"/>
        <w:numPr>
          <w:ilvl w:val="0"/>
          <w:numId w:val="26"/>
        </w:numPr>
        <w:spacing w:after="240" w:line="276" w:lineRule="auto"/>
        <w:contextualSpacing w:val="0"/>
        <w:jc w:val="both"/>
        <w:rPr>
          <w:rFonts w:eastAsia="Times New Roman" w:cstheme="minorHAnsi"/>
          <w:i/>
          <w:u w:val="single"/>
          <w:lang w:val="es-AR"/>
        </w:rPr>
      </w:pPr>
      <w:r>
        <w:rPr>
          <w:rFonts w:eastAsia="Times New Roman" w:cstheme="minorHAnsi"/>
          <w:iCs/>
          <w:lang w:val="es-AR"/>
        </w:rPr>
        <w:t>Implementar</w:t>
      </w:r>
      <w:r w:rsidRPr="003F612F">
        <w:rPr>
          <w:rFonts w:eastAsia="Times New Roman" w:cstheme="minorHAnsi"/>
          <w:iCs/>
          <w:lang w:val="es-AR"/>
        </w:rPr>
        <w:t xml:space="preserve"> programas d</w:t>
      </w:r>
      <w:r>
        <w:rPr>
          <w:rFonts w:eastAsia="Times New Roman" w:cstheme="minorHAnsi"/>
          <w:iCs/>
          <w:lang w:val="es-AR"/>
        </w:rPr>
        <w:t xml:space="preserve">e acompañamiento a las familias, que incluyan </w:t>
      </w:r>
      <w:r w:rsidRPr="003F612F">
        <w:rPr>
          <w:rFonts w:eastAsia="Times New Roman" w:cstheme="minorHAnsi"/>
          <w:iCs/>
          <w:lang w:val="es-AR"/>
        </w:rPr>
        <w:t xml:space="preserve">los recursos destinados a apoyar la inclusión socioeducativa y desarrollo integral de </w:t>
      </w:r>
      <w:r w:rsidR="00735A07">
        <w:rPr>
          <w:rFonts w:eastAsia="Times New Roman" w:cstheme="minorHAnsi"/>
          <w:iCs/>
          <w:lang w:val="es-AR"/>
        </w:rPr>
        <w:t>las infancias</w:t>
      </w:r>
      <w:r w:rsidRPr="003F612F">
        <w:rPr>
          <w:rFonts w:eastAsia="Times New Roman" w:cstheme="minorHAnsi"/>
          <w:iCs/>
          <w:lang w:val="es-AR"/>
        </w:rPr>
        <w:t xml:space="preserve"> y adolescen</w:t>
      </w:r>
      <w:r w:rsidR="009A0194">
        <w:rPr>
          <w:rFonts w:eastAsia="Times New Roman" w:cstheme="minorHAnsi"/>
          <w:iCs/>
          <w:lang w:val="es-AR"/>
        </w:rPr>
        <w:t>cias.</w:t>
      </w:r>
    </w:p>
    <w:tbl>
      <w:tblPr>
        <w:tblStyle w:val="Tablaconcuadrcula"/>
        <w:tblW w:w="0" w:type="auto"/>
        <w:tblLook w:val="04A0" w:firstRow="1" w:lastRow="0" w:firstColumn="1" w:lastColumn="0" w:noHBand="0" w:noVBand="1"/>
      </w:tblPr>
      <w:tblGrid>
        <w:gridCol w:w="9736"/>
      </w:tblGrid>
      <w:tr w:rsidR="00AD7597" w14:paraId="4198B772" w14:textId="77777777" w:rsidTr="00AD7597">
        <w:tc>
          <w:tcPr>
            <w:tcW w:w="9736" w:type="dxa"/>
            <w:shd w:val="clear" w:color="auto" w:fill="D5DCE4" w:themeFill="text2" w:themeFillTint="33"/>
          </w:tcPr>
          <w:p w14:paraId="18A9B530" w14:textId="4E99A7C0" w:rsidR="00AD7597" w:rsidRPr="00AD7597" w:rsidRDefault="00AD7597" w:rsidP="00762BF9">
            <w:pPr>
              <w:pStyle w:val="Ttulo2"/>
              <w:spacing w:line="276" w:lineRule="auto"/>
              <w:jc w:val="center"/>
              <w:outlineLvl w:val="1"/>
              <w:rPr>
                <w:rFonts w:asciiTheme="minorHAnsi" w:eastAsia="Times New Roman" w:hAnsiTheme="minorHAnsi" w:cstheme="minorHAnsi"/>
                <w:b/>
                <w:bCs/>
                <w:lang w:val="es-AR"/>
              </w:rPr>
            </w:pPr>
            <w:bookmarkStart w:id="11" w:name="_Toc124881436"/>
            <w:r w:rsidRPr="00AD7597">
              <w:rPr>
                <w:rFonts w:asciiTheme="minorHAnsi" w:eastAsia="Times New Roman" w:hAnsiTheme="minorHAnsi" w:cstheme="minorHAnsi"/>
                <w:b/>
                <w:bCs/>
                <w:color w:val="auto"/>
                <w:sz w:val="24"/>
                <w:szCs w:val="24"/>
                <w:lang w:val="es-AR"/>
              </w:rPr>
              <w:t>Artículo 9: Accesibilidad</w:t>
            </w:r>
            <w:bookmarkEnd w:id="11"/>
          </w:p>
        </w:tc>
      </w:tr>
    </w:tbl>
    <w:p w14:paraId="2EADB87E" w14:textId="77777777" w:rsidR="00415F98" w:rsidRDefault="00415F98" w:rsidP="00762BF9">
      <w:pPr>
        <w:pStyle w:val="Ttulo3"/>
        <w:spacing w:after="240" w:line="276" w:lineRule="auto"/>
        <w:rPr>
          <w:rFonts w:asciiTheme="minorHAnsi" w:hAnsiTheme="minorHAnsi" w:cstheme="minorHAnsi"/>
          <w:b/>
          <w:bCs/>
          <w:color w:val="auto"/>
          <w:sz w:val="22"/>
          <w:szCs w:val="22"/>
          <w:lang w:val="es-AR"/>
        </w:rPr>
      </w:pPr>
      <w:bookmarkStart w:id="12" w:name="_Toc124881437"/>
    </w:p>
    <w:p w14:paraId="322818C9" w14:textId="538EF72F" w:rsidR="00A958E7" w:rsidRPr="00A74FEA" w:rsidRDefault="00A958E7" w:rsidP="00762BF9">
      <w:pPr>
        <w:pStyle w:val="Ttulo3"/>
        <w:spacing w:after="240" w:line="276" w:lineRule="auto"/>
        <w:rPr>
          <w:rFonts w:asciiTheme="minorHAnsi" w:hAnsiTheme="minorHAnsi" w:cstheme="minorHAnsi"/>
          <w:b/>
          <w:bCs/>
          <w:color w:val="auto"/>
          <w:sz w:val="22"/>
          <w:szCs w:val="22"/>
          <w:lang w:val="es-AR"/>
        </w:rPr>
      </w:pPr>
      <w:r w:rsidRPr="00A74FEA">
        <w:rPr>
          <w:rFonts w:asciiTheme="minorHAnsi" w:hAnsiTheme="minorHAnsi" w:cstheme="minorHAnsi"/>
          <w:b/>
          <w:bCs/>
          <w:color w:val="auto"/>
          <w:sz w:val="22"/>
          <w:szCs w:val="22"/>
          <w:lang w:val="es-AR"/>
        </w:rPr>
        <w:t>Accesibilidad web</w:t>
      </w:r>
      <w:bookmarkEnd w:id="12"/>
    </w:p>
    <w:p w14:paraId="03F593AA" w14:textId="048CACB0" w:rsidR="00242226" w:rsidRPr="003F612F" w:rsidRDefault="00A958E7"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 xml:space="preserve">A más de diez años de la sanción de la Ley 26.653 que obliga a los tres poderes del Estado a contar con sitios web accesibles, </w:t>
      </w:r>
      <w:r w:rsidR="00A74FEA">
        <w:rPr>
          <w:rFonts w:asciiTheme="minorHAnsi" w:hAnsiTheme="minorHAnsi" w:cstheme="minorHAnsi"/>
          <w:color w:val="000000"/>
          <w:sz w:val="22"/>
          <w:szCs w:val="22"/>
          <w:lang w:val="es-AR"/>
        </w:rPr>
        <w:t>persisten las</w:t>
      </w:r>
      <w:r w:rsidRPr="003F612F">
        <w:rPr>
          <w:rFonts w:asciiTheme="minorHAnsi" w:hAnsiTheme="minorHAnsi" w:cstheme="minorHAnsi"/>
          <w:color w:val="000000"/>
          <w:sz w:val="22"/>
          <w:szCs w:val="22"/>
          <w:lang w:val="es-AR"/>
        </w:rPr>
        <w:t xml:space="preserve"> barreras para acceder a la información y servicios digitales</w:t>
      </w:r>
      <w:r w:rsidR="001D5824">
        <w:rPr>
          <w:rFonts w:asciiTheme="minorHAnsi" w:hAnsiTheme="minorHAnsi" w:cstheme="minorHAnsi"/>
          <w:color w:val="000000"/>
          <w:sz w:val="22"/>
          <w:szCs w:val="22"/>
          <w:lang w:val="es-AR"/>
        </w:rPr>
        <w:t>, a pesar de lo mencionado en el Informe País</w:t>
      </w:r>
      <w:r w:rsidR="009A0194">
        <w:rPr>
          <w:rStyle w:val="Refdenotaalpie"/>
          <w:rFonts w:asciiTheme="minorHAnsi" w:hAnsiTheme="minorHAnsi" w:cstheme="minorHAnsi"/>
          <w:color w:val="000000"/>
          <w:sz w:val="22"/>
          <w:szCs w:val="22"/>
          <w:lang w:val="es-AR"/>
        </w:rPr>
        <w:footnoteReference w:id="26"/>
      </w:r>
      <w:r w:rsidRPr="003F612F">
        <w:rPr>
          <w:rFonts w:asciiTheme="minorHAnsi" w:hAnsiTheme="minorHAnsi" w:cstheme="minorHAnsi"/>
          <w:color w:val="000000"/>
          <w:sz w:val="22"/>
          <w:szCs w:val="22"/>
          <w:lang w:val="es-AR"/>
        </w:rPr>
        <w:t xml:space="preserve">. Se destaca la falta de accesibilidad de la plataforma de Trámites a Distancia del Gobierno Nacional para realizar </w:t>
      </w:r>
      <w:r w:rsidR="00A74FEA">
        <w:rPr>
          <w:rFonts w:asciiTheme="minorHAnsi" w:hAnsiTheme="minorHAnsi" w:cstheme="minorHAnsi"/>
          <w:color w:val="000000"/>
          <w:sz w:val="22"/>
          <w:szCs w:val="22"/>
          <w:lang w:val="es-AR"/>
        </w:rPr>
        <w:t xml:space="preserve">gestiones </w:t>
      </w:r>
      <w:r w:rsidRPr="003F612F">
        <w:rPr>
          <w:rFonts w:asciiTheme="minorHAnsi" w:hAnsiTheme="minorHAnsi" w:cstheme="minorHAnsi"/>
          <w:color w:val="000000"/>
          <w:sz w:val="22"/>
          <w:szCs w:val="22"/>
          <w:lang w:val="es-AR"/>
        </w:rPr>
        <w:t>digitales</w:t>
      </w:r>
      <w:r w:rsidRPr="003F612F">
        <w:rPr>
          <w:rStyle w:val="Refdenotaalpie"/>
          <w:rFonts w:asciiTheme="minorHAnsi" w:hAnsiTheme="minorHAnsi" w:cstheme="minorHAnsi"/>
          <w:color w:val="000000"/>
          <w:sz w:val="22"/>
          <w:szCs w:val="22"/>
          <w:lang w:val="es-AR"/>
        </w:rPr>
        <w:footnoteReference w:id="27"/>
      </w:r>
      <w:r w:rsidR="009A0194">
        <w:rPr>
          <w:rFonts w:asciiTheme="minorHAnsi" w:hAnsiTheme="minorHAnsi" w:cstheme="minorHAnsi"/>
          <w:color w:val="000000"/>
          <w:sz w:val="22"/>
          <w:szCs w:val="22"/>
          <w:lang w:val="es-AR"/>
        </w:rPr>
        <w:t>.</w:t>
      </w:r>
      <w:r w:rsidRPr="003F612F">
        <w:rPr>
          <w:rFonts w:asciiTheme="minorHAnsi" w:hAnsiTheme="minorHAnsi" w:cstheme="minorHAnsi"/>
          <w:color w:val="000000"/>
          <w:sz w:val="22"/>
          <w:szCs w:val="22"/>
          <w:lang w:val="es-AR"/>
        </w:rPr>
        <w:t xml:space="preserve"> El sitio no permite a las personas ciegas y con baja visión completar los trámites de manera digital, </w:t>
      </w:r>
      <w:r w:rsidR="00E504AA" w:rsidRPr="003F612F">
        <w:rPr>
          <w:rFonts w:asciiTheme="minorHAnsi" w:hAnsiTheme="minorHAnsi" w:cstheme="minorHAnsi"/>
          <w:color w:val="000000"/>
          <w:sz w:val="22"/>
          <w:szCs w:val="22"/>
          <w:lang w:val="es-AR"/>
        </w:rPr>
        <w:t>siendo inaccesible su uso con los lectores de pantalla</w:t>
      </w:r>
      <w:r w:rsidRPr="003F612F">
        <w:rPr>
          <w:rFonts w:asciiTheme="minorHAnsi" w:hAnsiTheme="minorHAnsi" w:cstheme="minorHAnsi"/>
          <w:color w:val="000000"/>
          <w:sz w:val="22"/>
          <w:szCs w:val="22"/>
          <w:lang w:val="es-AR"/>
        </w:rPr>
        <w:t>.</w:t>
      </w:r>
      <w:r w:rsidR="00800014" w:rsidRPr="003F612F">
        <w:rPr>
          <w:rFonts w:asciiTheme="minorHAnsi" w:hAnsiTheme="minorHAnsi" w:cstheme="minorHAnsi"/>
          <w:color w:val="000000"/>
          <w:sz w:val="22"/>
          <w:szCs w:val="22"/>
          <w:lang w:val="es-AR"/>
        </w:rPr>
        <w:t xml:space="preserve"> Cabe señalar, que este sistema es la manera de efectuar denuncias que en algunos casos resultan delicadas, por ejemplo, por violencia laboral</w:t>
      </w:r>
      <w:r w:rsidR="00746152" w:rsidRPr="003F612F">
        <w:rPr>
          <w:rFonts w:asciiTheme="minorHAnsi" w:hAnsiTheme="minorHAnsi" w:cstheme="minorHAnsi"/>
          <w:color w:val="000000"/>
          <w:sz w:val="22"/>
          <w:szCs w:val="22"/>
          <w:lang w:val="es-AR"/>
        </w:rPr>
        <w:t xml:space="preserve"> en el ámbito estatal</w:t>
      </w:r>
      <w:r w:rsidR="00800014" w:rsidRPr="003F612F">
        <w:rPr>
          <w:rFonts w:asciiTheme="minorHAnsi" w:hAnsiTheme="minorHAnsi" w:cstheme="minorHAnsi"/>
          <w:color w:val="000000"/>
          <w:sz w:val="22"/>
          <w:szCs w:val="22"/>
          <w:lang w:val="es-AR"/>
        </w:rPr>
        <w:t>.</w:t>
      </w:r>
    </w:p>
    <w:p w14:paraId="06A2BD3A" w14:textId="0DB2176C" w:rsidR="00242226" w:rsidRPr="003F612F" w:rsidRDefault="00A958E7"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 xml:space="preserve">Por otra parte, nos preocupa la falta de accesibilidad de la aplicación móvil desarrollada por el Gobierno Nacional llamada “Mi Argentina”, en la que también se puede acceder a información personal y </w:t>
      </w:r>
      <w:r w:rsidRPr="003F612F">
        <w:rPr>
          <w:rFonts w:asciiTheme="minorHAnsi" w:hAnsiTheme="minorHAnsi" w:cstheme="minorHAnsi"/>
          <w:color w:val="000000"/>
          <w:sz w:val="22"/>
          <w:szCs w:val="22"/>
          <w:lang w:val="es-AR"/>
        </w:rPr>
        <w:lastRenderedPageBreak/>
        <w:t xml:space="preserve">realizar trámites de manera digital. La aplicación requiere validar los datos biométricos, para lo cual se pide </w:t>
      </w:r>
      <w:r w:rsidR="007D74A3" w:rsidRPr="003F612F">
        <w:rPr>
          <w:rFonts w:asciiTheme="minorHAnsi" w:hAnsiTheme="minorHAnsi" w:cstheme="minorHAnsi"/>
          <w:color w:val="000000"/>
          <w:sz w:val="22"/>
          <w:szCs w:val="22"/>
          <w:lang w:val="es-AR"/>
        </w:rPr>
        <w:t>efectuar</w:t>
      </w:r>
      <w:r w:rsidRPr="003F612F">
        <w:rPr>
          <w:rFonts w:asciiTheme="minorHAnsi" w:hAnsiTheme="minorHAnsi" w:cstheme="minorHAnsi"/>
          <w:color w:val="000000"/>
          <w:sz w:val="22"/>
          <w:szCs w:val="22"/>
          <w:lang w:val="es-AR"/>
        </w:rPr>
        <w:t xml:space="preserve"> gestos de manera muy veloz tomando como referencia el color de la pantalla. Este requisito resulta inaccesible para </w:t>
      </w:r>
      <w:r w:rsidR="008A5AE0" w:rsidRPr="003F612F">
        <w:rPr>
          <w:rFonts w:asciiTheme="minorHAnsi" w:hAnsiTheme="minorHAnsi" w:cstheme="minorHAnsi"/>
          <w:color w:val="000000"/>
          <w:sz w:val="22"/>
          <w:szCs w:val="22"/>
          <w:lang w:val="es-AR"/>
        </w:rPr>
        <w:t>PCD</w:t>
      </w:r>
      <w:r w:rsidRPr="003F612F">
        <w:rPr>
          <w:rFonts w:asciiTheme="minorHAnsi" w:hAnsiTheme="minorHAnsi" w:cstheme="minorHAnsi"/>
          <w:color w:val="000000"/>
          <w:sz w:val="22"/>
          <w:szCs w:val="22"/>
          <w:lang w:val="es-AR"/>
        </w:rPr>
        <w:t xml:space="preserve"> visual</w:t>
      </w:r>
      <w:r w:rsidR="002177B4" w:rsidRPr="003F612F">
        <w:rPr>
          <w:rFonts w:asciiTheme="minorHAnsi" w:hAnsiTheme="minorHAnsi" w:cstheme="minorHAnsi"/>
          <w:color w:val="000000"/>
          <w:sz w:val="22"/>
          <w:szCs w:val="22"/>
          <w:lang w:val="es-AR"/>
        </w:rPr>
        <w:t xml:space="preserve"> </w:t>
      </w:r>
      <w:r w:rsidR="009A0194">
        <w:rPr>
          <w:rFonts w:asciiTheme="minorHAnsi" w:hAnsiTheme="minorHAnsi" w:cstheme="minorHAnsi"/>
          <w:color w:val="000000"/>
          <w:sz w:val="22"/>
          <w:szCs w:val="22"/>
          <w:lang w:val="es-AR"/>
        </w:rPr>
        <w:t>y PCD intelectual</w:t>
      </w:r>
      <w:r w:rsidRPr="003F612F">
        <w:rPr>
          <w:rFonts w:asciiTheme="minorHAnsi" w:hAnsiTheme="minorHAnsi" w:cstheme="minorHAnsi"/>
          <w:color w:val="000000"/>
          <w:sz w:val="22"/>
          <w:szCs w:val="22"/>
          <w:lang w:val="es-AR"/>
        </w:rPr>
        <w:t>.</w:t>
      </w:r>
      <w:r w:rsidRPr="003F612F">
        <w:rPr>
          <w:rFonts w:asciiTheme="minorHAnsi" w:hAnsiTheme="minorHAnsi" w:cstheme="minorHAnsi"/>
          <w:color w:val="000000"/>
          <w:sz w:val="22"/>
          <w:szCs w:val="22"/>
          <w:lang w:val="es-AR"/>
        </w:rPr>
        <w:tab/>
      </w:r>
    </w:p>
    <w:p w14:paraId="5ECA55E3" w14:textId="109AB7A9" w:rsidR="00242226" w:rsidRPr="003F612F" w:rsidRDefault="00A958E7" w:rsidP="00762BF9">
      <w:pPr>
        <w:pStyle w:val="NormalWeb"/>
        <w:spacing w:before="0" w:beforeAutospacing="0" w:after="240" w:afterAutospacing="0" w:line="276" w:lineRule="auto"/>
        <w:ind w:firstLine="720"/>
        <w:jc w:val="both"/>
        <w:rPr>
          <w:rFonts w:asciiTheme="minorHAnsi" w:hAnsiTheme="minorHAnsi" w:cstheme="minorHAnsi"/>
          <w:color w:val="000000"/>
          <w:sz w:val="22"/>
          <w:szCs w:val="22"/>
          <w:lang w:val="es-AR"/>
        </w:rPr>
      </w:pPr>
      <w:r w:rsidRPr="003F612F">
        <w:rPr>
          <w:rFonts w:asciiTheme="minorHAnsi" w:hAnsiTheme="minorHAnsi" w:cstheme="minorHAnsi"/>
          <w:color w:val="000000"/>
          <w:sz w:val="22"/>
          <w:szCs w:val="22"/>
          <w:lang w:val="es-AR"/>
        </w:rPr>
        <w:t>La falta de accesibilidad de las plataformas y aplicaciones oficiales afectó la realización de trámites digitales durante la pandemia de Covid-19</w:t>
      </w:r>
      <w:r w:rsidR="00A74FEA">
        <w:rPr>
          <w:rFonts w:asciiTheme="minorHAnsi" w:hAnsiTheme="minorHAnsi" w:cstheme="minorHAnsi"/>
          <w:color w:val="000000"/>
          <w:sz w:val="22"/>
          <w:szCs w:val="22"/>
          <w:lang w:val="es-AR"/>
        </w:rPr>
        <w:t>. A</w:t>
      </w:r>
      <w:r w:rsidR="00E504AA" w:rsidRPr="003F612F">
        <w:rPr>
          <w:rFonts w:asciiTheme="minorHAnsi" w:hAnsiTheme="minorHAnsi" w:cstheme="minorHAnsi"/>
          <w:color w:val="000000"/>
          <w:sz w:val="22"/>
          <w:szCs w:val="22"/>
          <w:lang w:val="es-AR"/>
        </w:rPr>
        <w:t xml:space="preserve">l ser estas </w:t>
      </w:r>
      <w:r w:rsidRPr="003F612F">
        <w:rPr>
          <w:rFonts w:asciiTheme="minorHAnsi" w:hAnsiTheme="minorHAnsi" w:cstheme="minorHAnsi"/>
          <w:color w:val="000000"/>
          <w:sz w:val="22"/>
          <w:szCs w:val="22"/>
          <w:lang w:val="es-AR"/>
        </w:rPr>
        <w:t>las únicas vías habilitadas ante la restricción de la circulación</w:t>
      </w:r>
      <w:r w:rsidR="00A74FEA">
        <w:rPr>
          <w:rFonts w:asciiTheme="minorHAnsi" w:hAnsiTheme="minorHAnsi" w:cstheme="minorHAnsi"/>
          <w:color w:val="000000"/>
          <w:sz w:val="22"/>
          <w:szCs w:val="22"/>
          <w:lang w:val="es-AR"/>
        </w:rPr>
        <w:t xml:space="preserve"> las PCD vieron </w:t>
      </w:r>
      <w:r w:rsidR="002177B4" w:rsidRPr="003F612F">
        <w:rPr>
          <w:rFonts w:asciiTheme="minorHAnsi" w:hAnsiTheme="minorHAnsi" w:cstheme="minorHAnsi"/>
          <w:color w:val="000000"/>
          <w:sz w:val="22"/>
          <w:szCs w:val="22"/>
          <w:lang w:val="es-AR"/>
        </w:rPr>
        <w:t>cercena</w:t>
      </w:r>
      <w:r w:rsidR="00A74FEA">
        <w:rPr>
          <w:rFonts w:asciiTheme="minorHAnsi" w:hAnsiTheme="minorHAnsi" w:cstheme="minorHAnsi"/>
          <w:color w:val="000000"/>
          <w:sz w:val="22"/>
          <w:szCs w:val="22"/>
          <w:lang w:val="es-AR"/>
        </w:rPr>
        <w:t>da su</w:t>
      </w:r>
      <w:r w:rsidR="007D74A3" w:rsidRPr="003F612F">
        <w:rPr>
          <w:rFonts w:asciiTheme="minorHAnsi" w:hAnsiTheme="minorHAnsi" w:cstheme="minorHAnsi"/>
          <w:color w:val="000000"/>
          <w:sz w:val="22"/>
          <w:szCs w:val="22"/>
          <w:lang w:val="es-AR"/>
        </w:rPr>
        <w:t xml:space="preserve"> autonomía</w:t>
      </w:r>
      <w:r w:rsidR="00E67741" w:rsidRPr="003F612F">
        <w:rPr>
          <w:rStyle w:val="Refdenotaalpie"/>
          <w:rFonts w:asciiTheme="minorHAnsi" w:hAnsiTheme="minorHAnsi" w:cstheme="minorHAnsi"/>
          <w:color w:val="000000"/>
          <w:sz w:val="22"/>
          <w:szCs w:val="22"/>
          <w:lang w:val="es-AR"/>
        </w:rPr>
        <w:footnoteReference w:id="28"/>
      </w:r>
      <w:r w:rsidR="007D74A3" w:rsidRPr="003F612F">
        <w:rPr>
          <w:rFonts w:asciiTheme="minorHAnsi" w:hAnsiTheme="minorHAnsi" w:cstheme="minorHAnsi"/>
          <w:color w:val="000000"/>
          <w:sz w:val="22"/>
          <w:szCs w:val="22"/>
          <w:lang w:val="es-AR"/>
        </w:rPr>
        <w:t>.</w:t>
      </w:r>
    </w:p>
    <w:p w14:paraId="6B13B934" w14:textId="2163536A" w:rsidR="002177B4" w:rsidRPr="003F612F" w:rsidRDefault="002177B4" w:rsidP="00762BF9">
      <w:pPr>
        <w:pStyle w:val="NormalWeb"/>
        <w:spacing w:before="0" w:beforeAutospacing="0" w:after="240" w:afterAutospacing="0" w:line="276" w:lineRule="auto"/>
        <w:ind w:firstLine="720"/>
        <w:jc w:val="both"/>
        <w:rPr>
          <w:rFonts w:asciiTheme="minorHAnsi" w:hAnsiTheme="minorHAnsi" w:cstheme="minorHAnsi"/>
          <w:color w:val="000000"/>
          <w:sz w:val="22"/>
          <w:szCs w:val="22"/>
          <w:lang w:val="es-AR"/>
        </w:rPr>
      </w:pPr>
      <w:r w:rsidRPr="003F612F">
        <w:rPr>
          <w:rFonts w:asciiTheme="minorHAnsi" w:hAnsiTheme="minorHAnsi" w:cstheme="minorHAnsi"/>
          <w:color w:val="000000"/>
          <w:sz w:val="22"/>
          <w:szCs w:val="22"/>
          <w:lang w:val="es-AR"/>
        </w:rPr>
        <w:t xml:space="preserve">Para </w:t>
      </w:r>
      <w:r w:rsidR="008B3E45">
        <w:rPr>
          <w:rFonts w:asciiTheme="minorHAnsi" w:hAnsiTheme="minorHAnsi" w:cstheme="minorHAnsi"/>
          <w:color w:val="000000"/>
          <w:sz w:val="22"/>
          <w:szCs w:val="22"/>
          <w:lang w:val="es-AR"/>
        </w:rPr>
        <w:t xml:space="preserve">las PCD que trabajan en el  </w:t>
      </w:r>
      <w:r w:rsidR="008B3E45" w:rsidRPr="003F612F">
        <w:rPr>
          <w:rFonts w:asciiTheme="minorHAnsi" w:hAnsiTheme="minorHAnsi" w:cstheme="minorHAnsi"/>
          <w:color w:val="000000"/>
          <w:sz w:val="22"/>
          <w:szCs w:val="22"/>
          <w:lang w:val="es-AR"/>
        </w:rPr>
        <w:t xml:space="preserve"> </w:t>
      </w:r>
      <w:r w:rsidR="009A0194" w:rsidRPr="003F612F">
        <w:rPr>
          <w:rFonts w:asciiTheme="minorHAnsi" w:hAnsiTheme="minorHAnsi" w:cstheme="minorHAnsi"/>
          <w:color w:val="000000"/>
          <w:sz w:val="22"/>
          <w:szCs w:val="22"/>
          <w:lang w:val="es-AR"/>
        </w:rPr>
        <w:t>Estado,</w:t>
      </w:r>
      <w:r w:rsidRPr="003F612F">
        <w:rPr>
          <w:rFonts w:asciiTheme="minorHAnsi" w:hAnsiTheme="minorHAnsi" w:cstheme="minorHAnsi"/>
          <w:color w:val="000000"/>
          <w:sz w:val="22"/>
          <w:szCs w:val="22"/>
          <w:lang w:val="es-AR"/>
        </w:rPr>
        <w:t xml:space="preserve"> el sistema de Gestión Documental Electrónica (GDE), también resulta inaccesible, lo que limita la posibilidad de las </w:t>
      </w:r>
      <w:r w:rsidR="00A74FEA">
        <w:rPr>
          <w:rFonts w:asciiTheme="minorHAnsi" w:hAnsiTheme="minorHAnsi" w:cstheme="minorHAnsi"/>
          <w:color w:val="000000"/>
          <w:sz w:val="22"/>
          <w:szCs w:val="22"/>
          <w:lang w:val="es-AR"/>
        </w:rPr>
        <w:t>PCD</w:t>
      </w:r>
      <w:r w:rsidRPr="003F612F">
        <w:rPr>
          <w:rFonts w:asciiTheme="minorHAnsi" w:hAnsiTheme="minorHAnsi" w:cstheme="minorHAnsi"/>
          <w:color w:val="000000"/>
          <w:sz w:val="22"/>
          <w:szCs w:val="22"/>
          <w:lang w:val="es-AR"/>
        </w:rPr>
        <w:t xml:space="preserve"> visual para </w:t>
      </w:r>
      <w:r w:rsidR="00800014" w:rsidRPr="003F612F">
        <w:rPr>
          <w:rFonts w:asciiTheme="minorHAnsi" w:hAnsiTheme="minorHAnsi" w:cstheme="minorHAnsi"/>
          <w:color w:val="000000"/>
          <w:sz w:val="22"/>
          <w:szCs w:val="22"/>
          <w:lang w:val="es-AR"/>
        </w:rPr>
        <w:t>gestionar sus licencias</w:t>
      </w:r>
      <w:r w:rsidR="00746152" w:rsidRPr="003F612F">
        <w:rPr>
          <w:rFonts w:asciiTheme="minorHAnsi" w:hAnsiTheme="minorHAnsi" w:cstheme="minorHAnsi"/>
          <w:color w:val="000000"/>
          <w:sz w:val="22"/>
          <w:szCs w:val="22"/>
          <w:lang w:val="es-AR"/>
        </w:rPr>
        <w:t>,</w:t>
      </w:r>
      <w:r w:rsidR="00800014" w:rsidRPr="003F612F">
        <w:rPr>
          <w:rFonts w:asciiTheme="minorHAnsi" w:hAnsiTheme="minorHAnsi" w:cstheme="minorHAnsi"/>
          <w:color w:val="000000"/>
          <w:sz w:val="22"/>
          <w:szCs w:val="22"/>
          <w:lang w:val="es-AR"/>
        </w:rPr>
        <w:t xml:space="preserve"> vacaciones y comunicaciones oficiales, además de realizar tareas administrativas cuando tienen equipos a cargo.</w:t>
      </w:r>
    </w:p>
    <w:p w14:paraId="4F14A839" w14:textId="35C9FB73" w:rsidR="006C4EAC" w:rsidRPr="00A74FEA" w:rsidRDefault="006C4EAC" w:rsidP="00762BF9">
      <w:pPr>
        <w:pStyle w:val="Ttulo3"/>
        <w:spacing w:after="240" w:line="276" w:lineRule="auto"/>
        <w:rPr>
          <w:rFonts w:asciiTheme="minorHAnsi" w:hAnsiTheme="minorHAnsi" w:cstheme="minorHAnsi"/>
          <w:b/>
          <w:bCs/>
          <w:color w:val="auto"/>
          <w:sz w:val="22"/>
          <w:szCs w:val="22"/>
          <w:lang w:val="es-AR"/>
        </w:rPr>
      </w:pPr>
      <w:bookmarkStart w:id="13" w:name="_Toc124881438"/>
      <w:r w:rsidRPr="00A74FEA">
        <w:rPr>
          <w:rFonts w:asciiTheme="minorHAnsi" w:eastAsia="Calibri" w:hAnsiTheme="minorHAnsi" w:cstheme="minorHAnsi"/>
          <w:b/>
          <w:bCs/>
          <w:color w:val="auto"/>
          <w:sz w:val="22"/>
          <w:szCs w:val="22"/>
          <w:lang w:val="es-AR"/>
        </w:rPr>
        <w:t>Accesibilidad peatonal y movilidad</w:t>
      </w:r>
      <w:bookmarkEnd w:id="13"/>
    </w:p>
    <w:p w14:paraId="66867AC8" w14:textId="450639AF" w:rsidR="006C4EAC" w:rsidRPr="003F612F" w:rsidRDefault="006C4EAC" w:rsidP="00762BF9">
      <w:pPr>
        <w:spacing w:after="240" w:line="276" w:lineRule="auto"/>
        <w:ind w:firstLine="720"/>
        <w:jc w:val="both"/>
        <w:rPr>
          <w:rFonts w:cstheme="minorHAnsi"/>
          <w:lang w:val="es-AR"/>
        </w:rPr>
      </w:pPr>
      <w:r w:rsidRPr="003F612F">
        <w:rPr>
          <w:rFonts w:cstheme="minorHAnsi"/>
          <w:lang w:val="es-AR"/>
        </w:rPr>
        <w:t>Se destaca la ausencia de infraestructura y dispositivos de accesibilidad en apoyo a</w:t>
      </w:r>
      <w:r w:rsidR="00746152" w:rsidRPr="003F612F">
        <w:rPr>
          <w:rFonts w:cstheme="minorHAnsi"/>
          <w:lang w:val="es-AR"/>
        </w:rPr>
        <w:t xml:space="preserve">l desplazamiento peatonal </w:t>
      </w:r>
      <w:r w:rsidRPr="003F612F">
        <w:rPr>
          <w:rFonts w:cstheme="minorHAnsi"/>
          <w:lang w:val="es-AR"/>
        </w:rPr>
        <w:t xml:space="preserve">accesible. En particular, hay una brecha notable en la accesibilidad entre quienes viven en Ciudad de Buenos Aires y el resto del país. Las condiciones de movilidad actual agudizan las </w:t>
      </w:r>
      <w:r w:rsidR="00FF68A9">
        <w:rPr>
          <w:rFonts w:cstheme="minorHAnsi"/>
          <w:lang w:val="es-AR"/>
        </w:rPr>
        <w:t>barreras</w:t>
      </w:r>
      <w:r w:rsidRPr="003F612F">
        <w:rPr>
          <w:rFonts w:cstheme="minorHAnsi"/>
          <w:lang w:val="es-AR"/>
        </w:rPr>
        <w:t xml:space="preserve"> </w:t>
      </w:r>
      <w:proofErr w:type="spellStart"/>
      <w:r w:rsidRPr="003F612F">
        <w:rPr>
          <w:rFonts w:cstheme="minorHAnsi"/>
          <w:lang w:val="es-AR"/>
        </w:rPr>
        <w:t>discapacitantes</w:t>
      </w:r>
      <w:proofErr w:type="spellEnd"/>
      <w:r w:rsidRPr="003F612F">
        <w:rPr>
          <w:rFonts w:cstheme="minorHAnsi"/>
          <w:lang w:val="es-AR"/>
        </w:rPr>
        <w:t xml:space="preserve">, generan aislamiento, mayor vulnerabilidad e incrementan la brecha entre quienes </w:t>
      </w:r>
      <w:r w:rsidR="005279B3" w:rsidRPr="003F612F">
        <w:rPr>
          <w:rFonts w:cstheme="minorHAnsi"/>
          <w:lang w:val="es-AR"/>
        </w:rPr>
        <w:t xml:space="preserve">pueden </w:t>
      </w:r>
      <w:r w:rsidRPr="003F612F">
        <w:rPr>
          <w:rFonts w:cstheme="minorHAnsi"/>
          <w:lang w:val="es-AR"/>
        </w:rPr>
        <w:t>pagar un traslado personalizado</w:t>
      </w:r>
      <w:r w:rsidR="005279B3" w:rsidRPr="003F612F">
        <w:rPr>
          <w:rFonts w:cstheme="minorHAnsi"/>
          <w:lang w:val="es-AR"/>
        </w:rPr>
        <w:t xml:space="preserve"> y </w:t>
      </w:r>
      <w:proofErr w:type="spellStart"/>
      <w:r w:rsidR="005279B3" w:rsidRPr="003F612F">
        <w:rPr>
          <w:rFonts w:cstheme="minorHAnsi"/>
          <w:lang w:val="es-AR"/>
        </w:rPr>
        <w:t>quienes</w:t>
      </w:r>
      <w:proofErr w:type="spellEnd"/>
      <w:r w:rsidR="005279B3" w:rsidRPr="003F612F">
        <w:rPr>
          <w:rFonts w:cstheme="minorHAnsi"/>
          <w:lang w:val="es-AR"/>
        </w:rPr>
        <w:t xml:space="preserve"> no</w:t>
      </w:r>
      <w:r w:rsidRPr="003F612F">
        <w:rPr>
          <w:rFonts w:cstheme="minorHAnsi"/>
          <w:lang w:val="es-AR"/>
        </w:rPr>
        <w:t>. Hay una disociación entre altas inversiones en vialidad</w:t>
      </w:r>
      <w:r w:rsidRPr="003F612F">
        <w:rPr>
          <w:rFonts w:cstheme="minorHAnsi"/>
          <w:vertAlign w:val="superscript"/>
          <w:lang w:val="es-AR"/>
        </w:rPr>
        <w:footnoteReference w:id="29"/>
      </w:r>
      <w:r w:rsidRPr="003F612F">
        <w:rPr>
          <w:rFonts w:cstheme="minorHAnsi"/>
          <w:lang w:val="es-AR"/>
        </w:rPr>
        <w:t xml:space="preserve"> e implementación de prácticas sociales inclusivas para generar sendas y cruces peatonales seguros y accesibles</w:t>
      </w:r>
      <w:r w:rsidRPr="003F612F">
        <w:rPr>
          <w:rFonts w:cstheme="minorHAnsi"/>
          <w:vertAlign w:val="superscript"/>
          <w:lang w:val="es-AR"/>
        </w:rPr>
        <w:footnoteReference w:id="30"/>
      </w:r>
      <w:r w:rsidR="009A0194">
        <w:rPr>
          <w:rFonts w:cstheme="minorHAnsi"/>
          <w:lang w:val="es-AR"/>
        </w:rPr>
        <w:t>.</w:t>
      </w:r>
    </w:p>
    <w:p w14:paraId="0C0C2EDE" w14:textId="490BE575" w:rsidR="00E413A2" w:rsidRPr="00A74FEA" w:rsidRDefault="00E413A2" w:rsidP="00762BF9">
      <w:pPr>
        <w:pStyle w:val="Ttulo3"/>
        <w:spacing w:after="240" w:line="276" w:lineRule="auto"/>
        <w:rPr>
          <w:rFonts w:asciiTheme="minorHAnsi" w:hAnsiTheme="minorHAnsi" w:cstheme="minorHAnsi"/>
          <w:b/>
          <w:bCs/>
          <w:color w:val="auto"/>
          <w:sz w:val="22"/>
          <w:szCs w:val="22"/>
          <w:lang w:val="es-AR"/>
        </w:rPr>
      </w:pPr>
      <w:bookmarkStart w:id="14" w:name="_Toc124881439"/>
      <w:r w:rsidRPr="00A74FEA">
        <w:rPr>
          <w:rFonts w:asciiTheme="minorHAnsi" w:hAnsiTheme="minorHAnsi" w:cstheme="minorHAnsi"/>
          <w:b/>
          <w:bCs/>
          <w:color w:val="auto"/>
          <w:sz w:val="22"/>
          <w:szCs w:val="22"/>
          <w:lang w:val="es-AR"/>
        </w:rPr>
        <w:t>Accesibilidad</w:t>
      </w:r>
      <w:r w:rsidR="00686502">
        <w:rPr>
          <w:rFonts w:asciiTheme="minorHAnsi" w:hAnsiTheme="minorHAnsi" w:cstheme="minorHAnsi"/>
          <w:b/>
          <w:bCs/>
          <w:color w:val="auto"/>
          <w:sz w:val="22"/>
          <w:szCs w:val="22"/>
          <w:lang w:val="es-AR"/>
        </w:rPr>
        <w:t xml:space="preserve"> edilicia</w:t>
      </w:r>
      <w:bookmarkEnd w:id="14"/>
      <w:r w:rsidRPr="00A74FEA">
        <w:rPr>
          <w:rFonts w:asciiTheme="minorHAnsi" w:hAnsiTheme="minorHAnsi" w:cstheme="minorHAnsi"/>
          <w:b/>
          <w:bCs/>
          <w:color w:val="auto"/>
          <w:sz w:val="22"/>
          <w:szCs w:val="22"/>
          <w:lang w:val="es-AR"/>
        </w:rPr>
        <w:t xml:space="preserve"> </w:t>
      </w:r>
    </w:p>
    <w:p w14:paraId="241A59F5" w14:textId="50EAF2F4" w:rsidR="00B737A6" w:rsidRPr="003F612F" w:rsidRDefault="00B737A6" w:rsidP="00762BF9">
      <w:pPr>
        <w:spacing w:after="240" w:line="276" w:lineRule="auto"/>
        <w:ind w:firstLine="720"/>
        <w:jc w:val="both"/>
        <w:rPr>
          <w:rFonts w:cstheme="minorHAnsi"/>
          <w:lang w:val="es-AR"/>
        </w:rPr>
      </w:pPr>
      <w:r w:rsidRPr="003F612F">
        <w:rPr>
          <w:rFonts w:cstheme="minorHAnsi"/>
          <w:lang w:val="es-AR"/>
        </w:rPr>
        <w:t>A pesar de lo anunciado por el Ministerio de Desarrollo Territorial y Hábitat respecto del derecho a la vivienda digna en todo el país, solo 1 de los 40 modelos de vivienda unifamiliar seleccionados</w:t>
      </w:r>
      <w:r w:rsidRPr="003F612F">
        <w:rPr>
          <w:rFonts w:cstheme="minorHAnsi"/>
          <w:vertAlign w:val="superscript"/>
          <w:lang w:val="es-AR"/>
        </w:rPr>
        <w:footnoteReference w:id="31"/>
      </w:r>
      <w:r w:rsidRPr="003F612F">
        <w:rPr>
          <w:rFonts w:cstheme="minorHAnsi"/>
          <w:lang w:val="es-AR"/>
        </w:rPr>
        <w:t xml:space="preserve"> explicita condiciones de holgura espacial para personas usuarias de silla de ruedas. Aunque la “accesibilidad universal” se señala como un criterio más de evaluación, los 39 modelos restantes no cuentan con condiciones manifiestas de </w:t>
      </w:r>
      <w:proofErr w:type="spellStart"/>
      <w:r w:rsidRPr="003F612F">
        <w:rPr>
          <w:rFonts w:cstheme="minorHAnsi"/>
          <w:lang w:val="es-AR"/>
        </w:rPr>
        <w:t>visitabilidad</w:t>
      </w:r>
      <w:proofErr w:type="spellEnd"/>
      <w:r w:rsidRPr="003F612F">
        <w:rPr>
          <w:rFonts w:cstheme="minorHAnsi"/>
          <w:lang w:val="es-AR"/>
        </w:rPr>
        <w:t xml:space="preserve"> ni adaptabilidad. Por tanto, no se puede constatar que brinden condiciones básicas ni potenciales de accesibilidad. </w:t>
      </w:r>
      <w:r w:rsidR="00BA034C">
        <w:rPr>
          <w:rFonts w:cstheme="minorHAnsi"/>
          <w:lang w:val="es-AR"/>
        </w:rPr>
        <w:t xml:space="preserve">En los planes de desarrollos </w:t>
      </w:r>
      <w:r w:rsidR="00FF68A9">
        <w:rPr>
          <w:rFonts w:cstheme="minorHAnsi"/>
          <w:lang w:val="es-AR"/>
        </w:rPr>
        <w:t>urbanísticos no se</w:t>
      </w:r>
      <w:r w:rsidR="005279B3" w:rsidRPr="003F612F">
        <w:rPr>
          <w:rFonts w:cstheme="minorHAnsi"/>
          <w:lang w:val="es-AR"/>
        </w:rPr>
        <w:t xml:space="preserve"> contempla el financiamiento de ajustes razonables</w:t>
      </w:r>
      <w:r w:rsidR="007E5BE6">
        <w:rPr>
          <w:rFonts w:cstheme="minorHAnsi"/>
          <w:lang w:val="es-AR"/>
        </w:rPr>
        <w:t xml:space="preserve"> como medio para garantizar la accesibilidad de y en la vivienda</w:t>
      </w:r>
      <w:r w:rsidR="005279B3" w:rsidRPr="003F612F">
        <w:rPr>
          <w:rFonts w:cstheme="minorHAnsi"/>
          <w:lang w:val="es-AR"/>
        </w:rPr>
        <w:t xml:space="preserve">, lo cual resulta restrictivo para quienes no pueden hacer inversiones </w:t>
      </w:r>
      <w:r w:rsidR="007E5BE6">
        <w:rPr>
          <w:rFonts w:cstheme="minorHAnsi"/>
          <w:lang w:val="es-AR"/>
        </w:rPr>
        <w:t>para ello</w:t>
      </w:r>
      <w:r w:rsidR="005279B3" w:rsidRPr="003F612F">
        <w:rPr>
          <w:rFonts w:cstheme="minorHAnsi"/>
          <w:lang w:val="es-AR"/>
        </w:rPr>
        <w:t>.</w:t>
      </w:r>
    </w:p>
    <w:p w14:paraId="21F9C793" w14:textId="1AC620FC" w:rsidR="00B737A6" w:rsidRPr="003F612F" w:rsidRDefault="00B737A6" w:rsidP="00762BF9">
      <w:pPr>
        <w:spacing w:after="240" w:line="276" w:lineRule="auto"/>
        <w:ind w:firstLine="720"/>
        <w:jc w:val="both"/>
        <w:rPr>
          <w:rFonts w:cstheme="minorHAnsi"/>
          <w:lang w:val="es-AR"/>
        </w:rPr>
      </w:pPr>
      <w:r w:rsidRPr="003F612F">
        <w:rPr>
          <w:rFonts w:cstheme="minorHAnsi"/>
          <w:lang w:val="es-AR"/>
        </w:rPr>
        <w:t>En CABA, la Legislatura aprobó un Código de Edificación</w:t>
      </w:r>
      <w:r w:rsidRPr="003F612F">
        <w:rPr>
          <w:rFonts w:cstheme="minorHAnsi"/>
          <w:vertAlign w:val="superscript"/>
          <w:lang w:val="es-AR"/>
        </w:rPr>
        <w:footnoteReference w:id="32"/>
      </w:r>
      <w:r w:rsidRPr="003F612F">
        <w:rPr>
          <w:rFonts w:cstheme="minorHAnsi"/>
          <w:lang w:val="es-AR"/>
        </w:rPr>
        <w:t xml:space="preserve"> discriminatorio y</w:t>
      </w:r>
      <w:r w:rsidRPr="003F612F">
        <w:rPr>
          <w:rFonts w:cstheme="minorHAnsi"/>
          <w:vertAlign w:val="superscript"/>
          <w:lang w:val="es-AR"/>
        </w:rPr>
        <w:footnoteReference w:id="33"/>
      </w:r>
      <w:r w:rsidRPr="003F612F">
        <w:rPr>
          <w:rFonts w:cstheme="minorHAnsi"/>
          <w:lang w:val="es-AR"/>
        </w:rPr>
        <w:t xml:space="preserve"> regresivo respecto del anterior, reduciendo las dimensiones mínimas admisibles para viviendas dignas, permitiendo baños </w:t>
      </w:r>
      <w:r w:rsidRPr="003F612F">
        <w:rPr>
          <w:rFonts w:cstheme="minorHAnsi"/>
          <w:lang w:val="es-AR"/>
        </w:rPr>
        <w:lastRenderedPageBreak/>
        <w:t>inaccesibles que dificultan e impiden al colectivo de PCD</w:t>
      </w:r>
      <w:r w:rsidR="005279B3" w:rsidRPr="003F612F">
        <w:rPr>
          <w:rFonts w:cstheme="minorHAnsi"/>
          <w:lang w:val="es-AR"/>
        </w:rPr>
        <w:t xml:space="preserve"> que las habiten</w:t>
      </w:r>
      <w:r w:rsidRPr="003F612F">
        <w:rPr>
          <w:rFonts w:cstheme="minorHAnsi"/>
          <w:lang w:val="es-AR"/>
        </w:rPr>
        <w:t xml:space="preserve">, en particular a personas con limitaciones motoras y a quienes requieren de asistencia. </w:t>
      </w:r>
    </w:p>
    <w:p w14:paraId="6844E300" w14:textId="296385C6" w:rsidR="00E413A2" w:rsidRPr="003F612F" w:rsidRDefault="00BA034C" w:rsidP="00762BF9">
      <w:pPr>
        <w:spacing w:after="240" w:line="276" w:lineRule="auto"/>
        <w:jc w:val="both"/>
        <w:rPr>
          <w:rFonts w:eastAsia="Times New Roman" w:cstheme="minorHAnsi"/>
          <w:b/>
          <w:i/>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sugeridas al Estado</w:t>
      </w:r>
      <w:r w:rsidR="00E413A2" w:rsidRPr="003F612F">
        <w:rPr>
          <w:rFonts w:eastAsia="Times New Roman" w:cstheme="minorHAnsi"/>
          <w:b/>
          <w:i/>
          <w:lang w:val="es-AR"/>
        </w:rPr>
        <w:t>:</w:t>
      </w:r>
    </w:p>
    <w:p w14:paraId="02B106D9" w14:textId="5B873EA6" w:rsidR="00462CA6" w:rsidRPr="00415F98" w:rsidRDefault="00462CA6" w:rsidP="00415F98">
      <w:pPr>
        <w:pStyle w:val="Prrafodelista"/>
        <w:numPr>
          <w:ilvl w:val="0"/>
          <w:numId w:val="38"/>
        </w:numPr>
        <w:spacing w:after="240" w:line="276" w:lineRule="auto"/>
        <w:jc w:val="both"/>
        <w:rPr>
          <w:rFonts w:eastAsia="Times New Roman" w:cstheme="minorHAnsi"/>
          <w:bCs/>
          <w:iCs/>
        </w:rPr>
      </w:pPr>
      <w:r w:rsidRPr="00415F98">
        <w:rPr>
          <w:rFonts w:eastAsia="Times New Roman" w:cstheme="minorHAnsi"/>
          <w:b/>
          <w:iCs/>
        </w:rPr>
        <w:t>Recomendación urgente:</w:t>
      </w:r>
      <w:r w:rsidR="00415F98">
        <w:rPr>
          <w:rFonts w:eastAsia="Times New Roman" w:cstheme="minorHAnsi"/>
          <w:bCs/>
          <w:iCs/>
        </w:rPr>
        <w:t xml:space="preserve"> Promover la</w:t>
      </w:r>
      <w:r w:rsidRPr="00415F98">
        <w:rPr>
          <w:rFonts w:eastAsia="Times New Roman" w:cstheme="minorHAnsi"/>
          <w:bCs/>
          <w:iCs/>
        </w:rPr>
        <w:t xml:space="preserve"> accesibilidad </w:t>
      </w:r>
      <w:r w:rsidR="00415F98">
        <w:rPr>
          <w:rFonts w:eastAsia="Times New Roman" w:cstheme="minorHAnsi"/>
          <w:bCs/>
          <w:iCs/>
        </w:rPr>
        <w:t>de</w:t>
      </w:r>
      <w:r w:rsidRPr="00415F98">
        <w:rPr>
          <w:rFonts w:eastAsia="Times New Roman" w:cstheme="minorHAnsi"/>
          <w:bCs/>
          <w:iCs/>
        </w:rPr>
        <w:t xml:space="preserve"> la plataforma Trámites a Distancia.</w:t>
      </w:r>
    </w:p>
    <w:p w14:paraId="775BEC3A" w14:textId="77777777" w:rsidR="00462CA6" w:rsidRDefault="00462CA6" w:rsidP="00415F98">
      <w:pPr>
        <w:pStyle w:val="Prrafodelista"/>
        <w:spacing w:after="240" w:line="276" w:lineRule="auto"/>
        <w:ind w:left="0"/>
        <w:jc w:val="both"/>
        <w:rPr>
          <w:rFonts w:eastAsia="Times New Roman" w:cstheme="minorHAnsi"/>
          <w:bCs/>
          <w:iCs/>
        </w:rPr>
      </w:pPr>
    </w:p>
    <w:p w14:paraId="45AEF3D2" w14:textId="5C6059A5" w:rsidR="009628A8" w:rsidRPr="00415F98" w:rsidRDefault="009628A8" w:rsidP="00415F98">
      <w:pPr>
        <w:pStyle w:val="Prrafodelista"/>
        <w:numPr>
          <w:ilvl w:val="0"/>
          <w:numId w:val="38"/>
        </w:numPr>
        <w:spacing w:after="240" w:line="276" w:lineRule="auto"/>
        <w:jc w:val="both"/>
        <w:rPr>
          <w:rFonts w:eastAsia="Times New Roman" w:cstheme="minorHAnsi"/>
          <w:bCs/>
          <w:iCs/>
        </w:rPr>
      </w:pPr>
      <w:r w:rsidRPr="00415F98">
        <w:rPr>
          <w:rFonts w:eastAsia="Times New Roman" w:cstheme="minorHAnsi"/>
          <w:bCs/>
          <w:iCs/>
        </w:rPr>
        <w:t>Implementar mecanismo</w:t>
      </w:r>
      <w:r w:rsidR="00FF68A9" w:rsidRPr="00415F98">
        <w:rPr>
          <w:rFonts w:eastAsia="Times New Roman" w:cstheme="minorHAnsi"/>
          <w:bCs/>
          <w:iCs/>
        </w:rPr>
        <w:t>s</w:t>
      </w:r>
      <w:r w:rsidRPr="00415F98">
        <w:rPr>
          <w:rFonts w:eastAsia="Times New Roman" w:cstheme="minorHAnsi"/>
          <w:bCs/>
          <w:iCs/>
        </w:rPr>
        <w:t xml:space="preserve"> de supervisión, evaluación y sanción ante los incumplimientos de la Ley de Páginas Web.</w:t>
      </w:r>
    </w:p>
    <w:p w14:paraId="63CCA770" w14:textId="77777777" w:rsidR="009628A8" w:rsidRPr="001C63A5" w:rsidRDefault="009628A8" w:rsidP="00415F98">
      <w:pPr>
        <w:pStyle w:val="Prrafodelista"/>
        <w:spacing w:after="240" w:line="276" w:lineRule="auto"/>
        <w:ind w:left="0"/>
        <w:jc w:val="both"/>
        <w:rPr>
          <w:rFonts w:eastAsia="Times New Roman" w:cstheme="minorHAnsi"/>
          <w:bCs/>
          <w:iCs/>
        </w:rPr>
      </w:pPr>
    </w:p>
    <w:p w14:paraId="69AE25E6" w14:textId="77777777" w:rsidR="009628A8" w:rsidRPr="00415F98" w:rsidRDefault="009628A8" w:rsidP="00415F98">
      <w:pPr>
        <w:pStyle w:val="Prrafodelista"/>
        <w:numPr>
          <w:ilvl w:val="0"/>
          <w:numId w:val="38"/>
        </w:numPr>
        <w:spacing w:after="240" w:line="276" w:lineRule="auto"/>
        <w:jc w:val="both"/>
        <w:rPr>
          <w:rFonts w:eastAsia="Times New Roman" w:cstheme="minorHAnsi"/>
          <w:bCs/>
          <w:i/>
          <w:lang w:val="es-AR"/>
        </w:rPr>
      </w:pPr>
      <w:r w:rsidRPr="00415F98">
        <w:rPr>
          <w:rFonts w:eastAsia="Times New Roman" w:cstheme="minorHAnsi"/>
          <w:bCs/>
          <w:iCs/>
          <w:lang w:val="es-AR"/>
        </w:rPr>
        <w:t>Implementar mecanismos para verificar y propiciar medidas de accesibilidad física que incluya a zonas rurales y urbanas, así como toda medida transversal en el ámbito de la obra pública.</w:t>
      </w:r>
    </w:p>
    <w:tbl>
      <w:tblPr>
        <w:tblStyle w:val="Tablaconcuadrcula"/>
        <w:tblW w:w="0" w:type="auto"/>
        <w:tblLook w:val="04A0" w:firstRow="1" w:lastRow="0" w:firstColumn="1" w:lastColumn="0" w:noHBand="0" w:noVBand="1"/>
      </w:tblPr>
      <w:tblGrid>
        <w:gridCol w:w="9736"/>
      </w:tblGrid>
      <w:tr w:rsidR="00E413A2" w:rsidRPr="003F612F" w14:paraId="7338BA89" w14:textId="77777777" w:rsidTr="00852258">
        <w:tc>
          <w:tcPr>
            <w:tcW w:w="9736" w:type="dxa"/>
            <w:shd w:val="clear" w:color="auto" w:fill="D5DCE4" w:themeFill="text2" w:themeFillTint="33"/>
          </w:tcPr>
          <w:p w14:paraId="35C5757B" w14:textId="0DEB8FA5" w:rsidR="00E413A2" w:rsidRPr="00314A40" w:rsidRDefault="00E413A2" w:rsidP="00762BF9">
            <w:pPr>
              <w:pStyle w:val="Ttulo2"/>
              <w:spacing w:line="276" w:lineRule="auto"/>
              <w:jc w:val="center"/>
              <w:outlineLvl w:val="1"/>
              <w:rPr>
                <w:rFonts w:asciiTheme="minorHAnsi" w:eastAsia="Times New Roman" w:hAnsiTheme="minorHAnsi" w:cstheme="minorHAnsi"/>
                <w:b/>
                <w:bCs/>
                <w:color w:val="auto"/>
                <w:lang w:val="es-AR"/>
              </w:rPr>
            </w:pPr>
            <w:bookmarkStart w:id="15" w:name="_Toc124881440"/>
            <w:r w:rsidRPr="00314A40">
              <w:rPr>
                <w:rFonts w:asciiTheme="minorHAnsi" w:eastAsia="Times New Roman" w:hAnsiTheme="minorHAnsi" w:cstheme="minorHAnsi"/>
                <w:b/>
                <w:bCs/>
                <w:color w:val="auto"/>
                <w:sz w:val="24"/>
                <w:szCs w:val="24"/>
                <w:lang w:val="es-AR"/>
              </w:rPr>
              <w:t>Artículo 11: Situaciones de riesgo y derecho a la vida</w:t>
            </w:r>
            <w:bookmarkEnd w:id="15"/>
          </w:p>
        </w:tc>
      </w:tr>
    </w:tbl>
    <w:p w14:paraId="0C29FB1B" w14:textId="3D9B3F50" w:rsidR="00E413A2" w:rsidRPr="003F612F" w:rsidRDefault="00E413A2" w:rsidP="00762BF9">
      <w:pPr>
        <w:spacing w:before="240"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La pandemia de Covid-19 demostró que las PCD est</w:t>
      </w:r>
      <w:r w:rsidR="00852258" w:rsidRPr="003F612F">
        <w:rPr>
          <w:rFonts w:eastAsia="Times New Roman" w:cstheme="minorHAnsi"/>
          <w:color w:val="000000"/>
          <w:lang w:val="es-AR" w:eastAsia="en-GB"/>
        </w:rPr>
        <w:t>án</w:t>
      </w:r>
      <w:r w:rsidRPr="003F612F">
        <w:rPr>
          <w:rFonts w:eastAsia="Times New Roman" w:cstheme="minorHAnsi"/>
          <w:color w:val="000000"/>
          <w:lang w:val="es-AR" w:eastAsia="en-GB"/>
        </w:rPr>
        <w:t xml:space="preserve"> más expuestas ante situaciones de riesgo humanitario. Una resolución publicada por el Poder Ejecutivo Nacional en marzo de 2020</w:t>
      </w:r>
      <w:r w:rsidR="00E66555" w:rsidRPr="003F612F">
        <w:rPr>
          <w:rStyle w:val="Refdenotaalpie"/>
          <w:rFonts w:eastAsia="Times New Roman" w:cstheme="minorHAnsi"/>
          <w:color w:val="000000"/>
          <w:lang w:val="es-AR" w:eastAsia="en-GB"/>
        </w:rPr>
        <w:footnoteReference w:id="34"/>
      </w:r>
      <w:r w:rsidRPr="003F612F">
        <w:rPr>
          <w:rFonts w:eastAsia="Times New Roman" w:cstheme="minorHAnsi"/>
          <w:color w:val="000000"/>
          <w:lang w:val="es-AR" w:eastAsia="en-GB"/>
        </w:rPr>
        <w:t xml:space="preserve"> reconoció al colectivo de PCD como uno de los grupos de riesgo frente a esta enfermedad. Sin embargo, no se tomaron medidas adecuadas</w:t>
      </w:r>
      <w:r w:rsidR="00E22C0D" w:rsidRPr="003F612F">
        <w:rPr>
          <w:rFonts w:eastAsia="Times New Roman" w:cstheme="minorHAnsi"/>
          <w:color w:val="000000"/>
          <w:lang w:val="es-AR" w:eastAsia="en-GB"/>
        </w:rPr>
        <w:t xml:space="preserve"> </w:t>
      </w:r>
      <w:r w:rsidR="00DE6709" w:rsidRPr="003F612F">
        <w:rPr>
          <w:rFonts w:eastAsia="Times New Roman" w:cstheme="minorHAnsi"/>
          <w:color w:val="000000"/>
          <w:lang w:val="es-AR" w:eastAsia="en-GB"/>
        </w:rPr>
        <w:t xml:space="preserve">para garantizar la autonomía e independencia de las PCD </w:t>
      </w:r>
      <w:r w:rsidR="00E22C0D" w:rsidRPr="003F612F">
        <w:rPr>
          <w:rFonts w:eastAsia="Times New Roman" w:cstheme="minorHAnsi"/>
          <w:color w:val="000000"/>
          <w:lang w:val="es-AR" w:eastAsia="en-GB"/>
        </w:rPr>
        <w:t>y la información difundida no era accesible</w:t>
      </w:r>
      <w:r w:rsidR="00E22C0D" w:rsidRPr="003F612F">
        <w:rPr>
          <w:rStyle w:val="Refdenotaalpie"/>
          <w:rFonts w:eastAsia="Times New Roman" w:cstheme="minorHAnsi"/>
          <w:color w:val="000000"/>
          <w:lang w:val="es-AR" w:eastAsia="en-GB"/>
        </w:rPr>
        <w:footnoteReference w:id="35"/>
      </w:r>
      <w:r w:rsidR="00E22C0D" w:rsidRPr="003F612F">
        <w:rPr>
          <w:rFonts w:eastAsia="Times New Roman" w:cstheme="minorHAnsi"/>
          <w:color w:val="000000"/>
          <w:lang w:val="es-AR" w:eastAsia="en-GB"/>
        </w:rPr>
        <w:t xml:space="preserve">. </w:t>
      </w:r>
    </w:p>
    <w:p w14:paraId="4192F268" w14:textId="0F8EAA0B" w:rsidR="00E413A2" w:rsidRPr="0000584E" w:rsidRDefault="006C7F68" w:rsidP="00762BF9">
      <w:pPr>
        <w:spacing w:after="240" w:line="276" w:lineRule="auto"/>
        <w:ind w:firstLine="709"/>
        <w:jc w:val="both"/>
        <w:rPr>
          <w:rFonts w:eastAsia="Times New Roman" w:cstheme="minorHAnsi"/>
          <w:lang w:val="es-AR" w:eastAsia="en-GB"/>
        </w:rPr>
      </w:pPr>
      <w:r w:rsidRPr="00936DFE">
        <w:rPr>
          <w:rFonts w:ascii="Calibri" w:hAnsi="Calibri" w:cs="Calibri"/>
          <w:shd w:val="clear" w:color="auto" w:fill="FFFFFF"/>
        </w:rPr>
        <w:t>La</w:t>
      </w:r>
      <w:r w:rsidR="00AF6609" w:rsidRPr="00936DFE">
        <w:rPr>
          <w:rFonts w:ascii="Calibri" w:hAnsi="Calibri" w:cs="Calibri"/>
          <w:shd w:val="clear" w:color="auto" w:fill="FFFFFF"/>
        </w:rPr>
        <w:t xml:space="preserve"> ANDIS creó un Comité de Expertos</w:t>
      </w:r>
      <w:r w:rsidRPr="00936DFE">
        <w:rPr>
          <w:rStyle w:val="Refdenotaalpie"/>
          <w:rFonts w:ascii="Calibri" w:hAnsi="Calibri" w:cs="Calibri"/>
          <w:shd w:val="clear" w:color="auto" w:fill="FFFFFF"/>
        </w:rPr>
        <w:footnoteReference w:id="36"/>
      </w:r>
      <w:r w:rsidR="00AF6609" w:rsidRPr="00936DFE">
        <w:rPr>
          <w:rFonts w:ascii="Calibri" w:hAnsi="Calibri" w:cs="Calibri"/>
          <w:shd w:val="clear" w:color="auto" w:fill="FFFFFF"/>
        </w:rPr>
        <w:t xml:space="preserve"> sobre el impacto de la Covid-19, </w:t>
      </w:r>
      <w:r w:rsidRPr="00936DFE">
        <w:rPr>
          <w:rFonts w:ascii="Calibri" w:hAnsi="Calibri" w:cs="Calibri"/>
          <w:shd w:val="clear" w:color="auto" w:fill="FFFFFF"/>
        </w:rPr>
        <w:t xml:space="preserve">pero </w:t>
      </w:r>
      <w:r w:rsidR="00AF6609" w:rsidRPr="00936DFE">
        <w:rPr>
          <w:rFonts w:ascii="Calibri" w:hAnsi="Calibri" w:cs="Calibri"/>
          <w:shd w:val="clear" w:color="auto" w:fill="FFFFFF"/>
        </w:rPr>
        <w:t xml:space="preserve">no se cuenta con información sobre las investigaciones y resultados </w:t>
      </w:r>
      <w:r w:rsidR="003820D1" w:rsidRPr="00D93049">
        <w:rPr>
          <w:rFonts w:ascii="Calibri" w:hAnsi="Calibri" w:cs="Calibri"/>
          <w:shd w:val="clear" w:color="auto" w:fill="FFFFFF"/>
        </w:rPr>
        <w:t>obtenidos</w:t>
      </w:r>
      <w:r w:rsidR="00F63A4D">
        <w:rPr>
          <w:rFonts w:ascii="Calibri" w:hAnsi="Calibri" w:cs="Calibri"/>
          <w:shd w:val="clear" w:color="auto" w:fill="FFFFFF"/>
        </w:rPr>
        <w:t>.</w:t>
      </w:r>
      <w:r w:rsidR="003820D1" w:rsidRPr="00D93049">
        <w:rPr>
          <w:rFonts w:eastAsia="Times New Roman" w:cstheme="minorHAnsi"/>
          <w:bCs/>
        </w:rPr>
        <w:t xml:space="preserve"> </w:t>
      </w:r>
      <w:r w:rsidR="00D93049" w:rsidRPr="00D93049">
        <w:rPr>
          <w:rFonts w:eastAsia="Times New Roman" w:cstheme="minorHAnsi"/>
          <w:bCs/>
        </w:rPr>
        <w:t>Tampoco se conocen avances del accionar de la ANDIS en el marco del Plan Nacional de Reducción de Riesgos y desastres que menciona el Informe País</w:t>
      </w:r>
      <w:r w:rsidR="00F63A4D">
        <w:rPr>
          <w:rStyle w:val="Refdenotaalpie"/>
          <w:rFonts w:eastAsia="Times New Roman" w:cstheme="minorHAnsi"/>
          <w:bCs/>
        </w:rPr>
        <w:footnoteReference w:id="37"/>
      </w:r>
      <w:r w:rsidR="00D93049" w:rsidRPr="00D93049">
        <w:rPr>
          <w:rFonts w:eastAsia="Times New Roman" w:cstheme="minorHAnsi"/>
          <w:bCs/>
        </w:rPr>
        <w:t xml:space="preserve">. </w:t>
      </w:r>
      <w:r w:rsidR="00E413A2" w:rsidRPr="00D93049">
        <w:rPr>
          <w:rFonts w:eastAsia="Times New Roman" w:cstheme="minorHAnsi"/>
          <w:lang w:val="es-AR" w:eastAsia="en-GB"/>
        </w:rPr>
        <w:t>Un informe</w:t>
      </w:r>
      <w:r w:rsidR="00E413A2" w:rsidRPr="00D93049">
        <w:rPr>
          <w:rStyle w:val="Refdenotaalpie"/>
          <w:rFonts w:eastAsia="Times New Roman" w:cstheme="minorHAnsi"/>
          <w:lang w:val="es-AR" w:eastAsia="en-GB"/>
        </w:rPr>
        <w:footnoteReference w:id="38"/>
      </w:r>
      <w:r w:rsidR="00E413A2" w:rsidRPr="00D93049">
        <w:rPr>
          <w:rFonts w:eastAsia="Times New Roman" w:cstheme="minorHAnsi"/>
          <w:lang w:val="es-AR" w:eastAsia="en-GB"/>
        </w:rPr>
        <w:t xml:space="preserve"> publicado por la ANDIS con datos</w:t>
      </w:r>
      <w:r w:rsidR="00E413A2" w:rsidRPr="00936DFE">
        <w:rPr>
          <w:rFonts w:eastAsia="Times New Roman" w:cstheme="minorHAnsi"/>
          <w:lang w:val="es-AR" w:eastAsia="en-GB"/>
        </w:rPr>
        <w:t xml:space="preserve"> relevados hasta el 23 de septiembre de 2020, arrojó que el </w:t>
      </w:r>
      <w:r w:rsidR="00E413A2" w:rsidRPr="003F612F">
        <w:rPr>
          <w:rFonts w:eastAsia="Times New Roman" w:cstheme="minorHAnsi"/>
          <w:color w:val="000000"/>
          <w:lang w:val="es-AR" w:eastAsia="en-GB"/>
        </w:rPr>
        <w:t>9% de las personas fallecidas por Covid-19 en todo el país eran PCD</w:t>
      </w:r>
      <w:r w:rsidR="00E413A2" w:rsidRPr="003F612F">
        <w:rPr>
          <w:rStyle w:val="Refdenotaalpie"/>
          <w:rFonts w:eastAsia="Times New Roman" w:cstheme="minorHAnsi"/>
          <w:color w:val="000000"/>
          <w:lang w:val="es-AR" w:eastAsia="en-GB"/>
        </w:rPr>
        <w:footnoteReference w:id="39"/>
      </w:r>
      <w:r w:rsidR="00E413A2" w:rsidRPr="003F612F">
        <w:rPr>
          <w:rFonts w:eastAsia="Times New Roman" w:cstheme="minorHAnsi"/>
          <w:color w:val="000000"/>
          <w:lang w:val="es-AR" w:eastAsia="en-GB"/>
        </w:rPr>
        <w:t xml:space="preserve">. Con respecto a las personas recuperadas, el informe señaló una proporción menor entre las </w:t>
      </w:r>
      <w:r w:rsidR="007C429F" w:rsidRPr="003F612F">
        <w:rPr>
          <w:rFonts w:eastAsia="Times New Roman" w:cstheme="minorHAnsi"/>
          <w:color w:val="000000"/>
          <w:lang w:val="es-AR" w:eastAsia="en-GB"/>
        </w:rPr>
        <w:t xml:space="preserve">PCD </w:t>
      </w:r>
      <w:r w:rsidR="00E413A2" w:rsidRPr="003F612F">
        <w:rPr>
          <w:rFonts w:eastAsia="Times New Roman" w:cstheme="minorHAnsi"/>
          <w:color w:val="000000"/>
          <w:lang w:val="es-AR" w:eastAsia="en-GB"/>
        </w:rPr>
        <w:t xml:space="preserve">con CUD. Por su parte, cabe destacar que </w:t>
      </w:r>
      <w:r w:rsidR="007C429F" w:rsidRPr="003F612F">
        <w:rPr>
          <w:rFonts w:eastAsia="Times New Roman" w:cstheme="minorHAnsi"/>
          <w:color w:val="000000"/>
          <w:lang w:val="es-AR" w:eastAsia="en-GB"/>
        </w:rPr>
        <w:t>las</w:t>
      </w:r>
      <w:r w:rsidR="00E413A2" w:rsidRPr="003F612F">
        <w:rPr>
          <w:rFonts w:eastAsia="Times New Roman" w:cstheme="minorHAnsi"/>
          <w:color w:val="000000"/>
          <w:lang w:val="es-AR" w:eastAsia="en-GB"/>
        </w:rPr>
        <w:t xml:space="preserve"> PCD no fue</w:t>
      </w:r>
      <w:r w:rsidR="007C429F" w:rsidRPr="003F612F">
        <w:rPr>
          <w:rFonts w:eastAsia="Times New Roman" w:cstheme="minorHAnsi"/>
          <w:color w:val="000000"/>
          <w:lang w:val="es-AR" w:eastAsia="en-GB"/>
        </w:rPr>
        <w:t>ron</w:t>
      </w:r>
      <w:r w:rsidR="00E413A2" w:rsidRPr="003F612F">
        <w:rPr>
          <w:rFonts w:eastAsia="Times New Roman" w:cstheme="minorHAnsi"/>
          <w:color w:val="000000"/>
          <w:lang w:val="es-AR" w:eastAsia="en-GB"/>
        </w:rPr>
        <w:t xml:space="preserve"> considerad</w:t>
      </w:r>
      <w:r w:rsidR="007C429F" w:rsidRPr="003F612F">
        <w:rPr>
          <w:rFonts w:eastAsia="Times New Roman" w:cstheme="minorHAnsi"/>
          <w:color w:val="000000"/>
          <w:lang w:val="es-AR" w:eastAsia="en-GB"/>
        </w:rPr>
        <w:t>as</w:t>
      </w:r>
      <w:r w:rsidR="00E413A2" w:rsidRPr="003F612F">
        <w:rPr>
          <w:rFonts w:eastAsia="Times New Roman" w:cstheme="minorHAnsi"/>
          <w:color w:val="000000"/>
          <w:lang w:val="es-AR" w:eastAsia="en-GB"/>
        </w:rPr>
        <w:t xml:space="preserve"> como un grupo prioritario para acceder a la vacunación.  </w:t>
      </w:r>
    </w:p>
    <w:p w14:paraId="16507CF9" w14:textId="4AACD7F8" w:rsidR="00D140C5" w:rsidRDefault="00E413A2" w:rsidP="00762BF9">
      <w:pPr>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 xml:space="preserve">En el contexto de la pandemia, se destaca que el acceso a los servicios de salud para </w:t>
      </w:r>
      <w:r w:rsidR="00152A0E" w:rsidRPr="003F612F">
        <w:rPr>
          <w:rFonts w:eastAsia="Times New Roman" w:cstheme="minorHAnsi"/>
          <w:color w:val="000000"/>
          <w:lang w:val="es-AR" w:eastAsia="en-GB"/>
        </w:rPr>
        <w:t>PCD que d</w:t>
      </w:r>
      <w:r w:rsidRPr="003F612F">
        <w:rPr>
          <w:rFonts w:eastAsia="Times New Roman" w:cstheme="minorHAnsi"/>
          <w:color w:val="000000"/>
          <w:lang w:val="es-AR" w:eastAsia="en-GB"/>
        </w:rPr>
        <w:t xml:space="preserve">ebían ir acompañados </w:t>
      </w:r>
      <w:r w:rsidR="00E22C0D" w:rsidRPr="003F612F">
        <w:rPr>
          <w:rFonts w:eastAsia="Times New Roman" w:cstheme="minorHAnsi"/>
          <w:color w:val="000000"/>
          <w:lang w:val="es-AR" w:eastAsia="en-GB"/>
        </w:rPr>
        <w:t>se complejizó</w:t>
      </w:r>
      <w:r w:rsidRPr="003F612F">
        <w:rPr>
          <w:rFonts w:eastAsia="Times New Roman" w:cstheme="minorHAnsi"/>
          <w:color w:val="000000"/>
          <w:lang w:val="es-AR" w:eastAsia="en-GB"/>
        </w:rPr>
        <w:t>. Recién dos meses después de que se declaró el aislamiento social preventivo y obligatorio</w:t>
      </w:r>
      <w:r w:rsidR="001C409F" w:rsidRPr="00F63A4D">
        <w:rPr>
          <w:rStyle w:val="Refdenotaalpie"/>
          <w:rFonts w:eastAsia="Times New Roman" w:cstheme="minorHAnsi"/>
          <w:color w:val="000000"/>
          <w:lang w:val="es-AR" w:eastAsia="en-GB"/>
        </w:rPr>
        <w:footnoteReference w:id="40"/>
      </w:r>
      <w:r w:rsidR="007E5BE6" w:rsidRPr="00F63A4D">
        <w:rPr>
          <w:rFonts w:eastAsia="Times New Roman" w:cstheme="minorHAnsi"/>
          <w:color w:val="000000"/>
          <w:lang w:val="es-AR" w:eastAsia="en-GB"/>
        </w:rPr>
        <w:t>,</w:t>
      </w:r>
      <w:r w:rsidR="00F63A4D" w:rsidRPr="00F63A4D">
        <w:rPr>
          <w:rFonts w:eastAsia="Times New Roman" w:cstheme="minorHAnsi"/>
          <w:color w:val="000000"/>
          <w:lang w:val="es-AR" w:eastAsia="en-GB"/>
        </w:rPr>
        <w:t xml:space="preserve"> </w:t>
      </w:r>
      <w:r w:rsidRPr="00F63A4D">
        <w:rPr>
          <w:rFonts w:eastAsia="Times New Roman" w:cstheme="minorHAnsi"/>
          <w:color w:val="000000"/>
          <w:lang w:val="es-AR" w:eastAsia="en-GB"/>
        </w:rPr>
        <w:t>Ministerio</w:t>
      </w:r>
      <w:r w:rsidRPr="003F612F">
        <w:rPr>
          <w:rFonts w:eastAsia="Times New Roman" w:cstheme="minorHAnsi"/>
          <w:color w:val="000000"/>
          <w:lang w:val="es-AR" w:eastAsia="en-GB"/>
        </w:rPr>
        <w:t xml:space="preserve"> de Salud de la Nación publicó un protocolo de recomendaciones para la internación de PCD con Covid-</w:t>
      </w:r>
      <w:proofErr w:type="gramStart"/>
      <w:r w:rsidRPr="003F612F">
        <w:rPr>
          <w:rFonts w:eastAsia="Times New Roman" w:cstheme="minorHAnsi"/>
          <w:color w:val="000000"/>
          <w:lang w:val="es-AR" w:eastAsia="en-GB"/>
        </w:rPr>
        <w:t>1</w:t>
      </w:r>
      <w:r w:rsidR="00D140C5" w:rsidRPr="003F612F">
        <w:rPr>
          <w:rFonts w:eastAsia="Times New Roman" w:cstheme="minorHAnsi"/>
          <w:color w:val="000000"/>
          <w:lang w:val="es-AR" w:eastAsia="en-GB"/>
        </w:rPr>
        <w:t xml:space="preserve">9 </w:t>
      </w:r>
      <w:proofErr w:type="gramEnd"/>
      <w:r w:rsidR="00D140C5" w:rsidRPr="003F612F">
        <w:rPr>
          <w:rStyle w:val="Refdenotaalpie"/>
          <w:rFonts w:eastAsia="Times New Roman" w:cstheme="minorHAnsi"/>
          <w:color w:val="000000"/>
          <w:lang w:val="es-AR" w:eastAsia="en-GB"/>
        </w:rPr>
        <w:footnoteReference w:id="41"/>
      </w:r>
      <w:r w:rsidR="00D140C5" w:rsidRPr="003F612F">
        <w:rPr>
          <w:rFonts w:eastAsia="Times New Roman" w:cstheme="minorHAnsi"/>
          <w:color w:val="000000"/>
          <w:lang w:val="es-AR" w:eastAsia="en-GB"/>
        </w:rPr>
        <w:t xml:space="preserve">, elaborado en conjunto con la ANDIS, el cual no fue suficiente debido a que el personal de salud no </w:t>
      </w:r>
      <w:r w:rsidR="00FF68A9">
        <w:rPr>
          <w:rFonts w:eastAsia="Times New Roman" w:cstheme="minorHAnsi"/>
          <w:color w:val="000000"/>
          <w:lang w:val="es-AR" w:eastAsia="en-GB"/>
        </w:rPr>
        <w:t>tuvo</w:t>
      </w:r>
      <w:r w:rsidR="00D140C5" w:rsidRPr="003F612F">
        <w:rPr>
          <w:rFonts w:eastAsia="Times New Roman" w:cstheme="minorHAnsi"/>
          <w:color w:val="000000"/>
          <w:lang w:val="es-AR" w:eastAsia="en-GB"/>
        </w:rPr>
        <w:t xml:space="preserve"> capacitación </w:t>
      </w:r>
      <w:r w:rsidR="00FF68A9">
        <w:rPr>
          <w:rFonts w:eastAsia="Times New Roman" w:cstheme="minorHAnsi"/>
          <w:color w:val="000000"/>
          <w:lang w:val="es-AR" w:eastAsia="en-GB"/>
        </w:rPr>
        <w:t>sobre cómo</w:t>
      </w:r>
      <w:r w:rsidR="00D140C5" w:rsidRPr="003F612F">
        <w:rPr>
          <w:rFonts w:eastAsia="Times New Roman" w:cstheme="minorHAnsi"/>
          <w:color w:val="000000"/>
          <w:lang w:val="es-AR" w:eastAsia="en-GB"/>
        </w:rPr>
        <w:t xml:space="preserve"> tratar a una PCD.</w:t>
      </w:r>
    </w:p>
    <w:p w14:paraId="0800DB5A" w14:textId="64C2E1A8" w:rsidR="00817D63" w:rsidRDefault="001C409F" w:rsidP="00762BF9">
      <w:pPr>
        <w:spacing w:after="240" w:line="276" w:lineRule="auto"/>
        <w:jc w:val="both"/>
        <w:rPr>
          <w:rFonts w:eastAsia="Times New Roman" w:cstheme="minorHAnsi"/>
          <w:color w:val="000000"/>
          <w:lang w:val="es-AR" w:eastAsia="en-GB"/>
        </w:rPr>
      </w:pPr>
      <w:r>
        <w:rPr>
          <w:rFonts w:eastAsia="Times New Roman" w:cstheme="minorHAnsi"/>
          <w:color w:val="000000"/>
          <w:lang w:val="es-AR" w:eastAsia="en-GB"/>
        </w:rPr>
        <w:tab/>
        <w:t>El Plan Nacional de Riesgos, al que se alude en el Informe País, no cuenta con perspectiva de discapacidad, y las organizaciones de PCD no fueron consultadas para su elaboración.</w:t>
      </w:r>
    </w:p>
    <w:p w14:paraId="6FC5262D" w14:textId="53A5FF9D" w:rsidR="00E413A2" w:rsidRPr="003F612F" w:rsidRDefault="00936DFE" w:rsidP="00762BF9">
      <w:pPr>
        <w:spacing w:after="240" w:line="276" w:lineRule="auto"/>
        <w:jc w:val="both"/>
        <w:rPr>
          <w:rFonts w:eastAsia="Times New Roman" w:cstheme="minorHAnsi"/>
          <w:b/>
          <w:bCs/>
          <w:i/>
          <w:iCs/>
          <w:color w:val="000000"/>
          <w:u w:val="single"/>
          <w:lang w:val="es-AR" w:eastAsia="en-GB"/>
        </w:rPr>
      </w:pPr>
      <w:r>
        <w:rPr>
          <w:rFonts w:eastAsia="Times New Roman" w:cstheme="minorHAnsi"/>
          <w:b/>
          <w:bCs/>
          <w:i/>
          <w:iCs/>
          <w:color w:val="000000"/>
          <w:u w:val="single"/>
          <w:lang w:val="es-AR" w:eastAsia="en-GB"/>
        </w:rPr>
        <w:lastRenderedPageBreak/>
        <w:t>Recomendaciones</w:t>
      </w:r>
      <w:r w:rsidRPr="003F612F">
        <w:rPr>
          <w:rFonts w:eastAsia="Times New Roman" w:cstheme="minorHAnsi"/>
          <w:b/>
          <w:bCs/>
          <w:i/>
          <w:iCs/>
          <w:color w:val="000000"/>
          <w:u w:val="single"/>
          <w:lang w:val="es-AR" w:eastAsia="en-GB"/>
        </w:rPr>
        <w:t xml:space="preserve"> </w:t>
      </w:r>
      <w:r w:rsidR="00E413A2" w:rsidRPr="003F612F">
        <w:rPr>
          <w:rFonts w:eastAsia="Times New Roman" w:cstheme="minorHAnsi"/>
          <w:b/>
          <w:bCs/>
          <w:i/>
          <w:iCs/>
          <w:color w:val="000000"/>
          <w:u w:val="single"/>
          <w:lang w:val="es-AR" w:eastAsia="en-GB"/>
        </w:rPr>
        <w:t xml:space="preserve">sugeridas al Estado: </w:t>
      </w:r>
    </w:p>
    <w:p w14:paraId="053DB310" w14:textId="77777777" w:rsidR="00F23DEA" w:rsidRPr="001C63A5" w:rsidRDefault="00F23DEA" w:rsidP="00F63A4D">
      <w:pPr>
        <w:pStyle w:val="Prrafodelista"/>
        <w:numPr>
          <w:ilvl w:val="0"/>
          <w:numId w:val="28"/>
        </w:numPr>
        <w:spacing w:after="240" w:line="276" w:lineRule="auto"/>
        <w:ind w:left="714" w:hanging="357"/>
        <w:contextualSpacing w:val="0"/>
        <w:jc w:val="both"/>
        <w:rPr>
          <w:rFonts w:eastAsia="Times New Roman" w:cstheme="minorHAnsi"/>
          <w:bCs/>
          <w:iCs/>
        </w:rPr>
      </w:pPr>
      <w:r>
        <w:rPr>
          <w:rFonts w:eastAsia="Times New Roman" w:cstheme="minorHAnsi"/>
          <w:bCs/>
          <w:iCs/>
        </w:rPr>
        <w:t xml:space="preserve">Incluir perspectiva de discapacidad en el Plan Nacional de Riesgos, relativo </w:t>
      </w:r>
      <w:r w:rsidRPr="001C63A5">
        <w:rPr>
          <w:rFonts w:eastAsia="Times New Roman" w:cstheme="minorHAnsi"/>
          <w:bCs/>
          <w:iCs/>
        </w:rPr>
        <w:t>a la reducción de riesgos de desastres y los mecanismos de alerta temprana existentes en situaciones de riesgo y emergencias humanitarias.</w:t>
      </w:r>
    </w:p>
    <w:p w14:paraId="2B0B332C" w14:textId="00E0B7DE" w:rsidR="00F23DEA" w:rsidRDefault="00F23DEA" w:rsidP="00F63A4D">
      <w:pPr>
        <w:pStyle w:val="Prrafodelista"/>
        <w:numPr>
          <w:ilvl w:val="0"/>
          <w:numId w:val="28"/>
        </w:numPr>
        <w:spacing w:after="240" w:line="276" w:lineRule="auto"/>
        <w:ind w:left="714" w:hanging="357"/>
        <w:contextualSpacing w:val="0"/>
        <w:jc w:val="both"/>
        <w:rPr>
          <w:rFonts w:eastAsia="Times New Roman" w:cstheme="minorHAnsi"/>
          <w:bCs/>
          <w:iCs/>
          <w:lang w:val="es-AR"/>
        </w:rPr>
      </w:pPr>
      <w:r>
        <w:rPr>
          <w:rFonts w:eastAsia="Times New Roman" w:cstheme="minorHAnsi"/>
          <w:bCs/>
          <w:iCs/>
          <w:lang w:val="es-AR"/>
        </w:rPr>
        <w:t xml:space="preserve">Publicar </w:t>
      </w:r>
      <w:r w:rsidRPr="003F612F">
        <w:rPr>
          <w:rFonts w:eastAsia="Times New Roman" w:cstheme="minorHAnsi"/>
          <w:bCs/>
          <w:iCs/>
          <w:lang w:val="es-AR"/>
        </w:rPr>
        <w:t xml:space="preserve">estadísticas sobre la incidencia del Covid-19 en </w:t>
      </w:r>
      <w:r>
        <w:rPr>
          <w:rFonts w:eastAsia="Times New Roman" w:cstheme="minorHAnsi"/>
          <w:bCs/>
          <w:iCs/>
          <w:lang w:val="es-AR"/>
        </w:rPr>
        <w:t xml:space="preserve">PCD </w:t>
      </w:r>
      <w:r w:rsidRPr="003F612F">
        <w:rPr>
          <w:rFonts w:eastAsia="Times New Roman" w:cstheme="minorHAnsi"/>
          <w:bCs/>
          <w:iCs/>
          <w:lang w:val="es-AR"/>
        </w:rPr>
        <w:t xml:space="preserve">a fin de poder construir indicadores y tomar medidas a futuro para reducir el daño </w:t>
      </w:r>
      <w:r w:rsidR="00F63A4D">
        <w:rPr>
          <w:rFonts w:eastAsia="Times New Roman" w:cstheme="minorHAnsi"/>
          <w:bCs/>
          <w:iCs/>
          <w:lang w:val="es-AR"/>
        </w:rPr>
        <w:t>q</w:t>
      </w:r>
      <w:r w:rsidRPr="003F612F">
        <w:rPr>
          <w:rFonts w:eastAsia="Times New Roman" w:cstheme="minorHAnsi"/>
          <w:bCs/>
          <w:iCs/>
          <w:lang w:val="es-AR"/>
        </w:rPr>
        <w:t>ue podría causar una nueva situación similar.</w:t>
      </w:r>
    </w:p>
    <w:p w14:paraId="44800F29" w14:textId="349AB39F" w:rsidR="00F077E1" w:rsidRPr="00F31AB8" w:rsidRDefault="00F077E1" w:rsidP="00762BF9">
      <w:pPr>
        <w:pStyle w:val="Prrafodelista"/>
        <w:numPr>
          <w:ilvl w:val="0"/>
          <w:numId w:val="28"/>
        </w:numPr>
        <w:spacing w:after="240" w:line="276" w:lineRule="auto"/>
        <w:contextualSpacing w:val="0"/>
        <w:jc w:val="both"/>
        <w:rPr>
          <w:rFonts w:eastAsia="Times New Roman" w:cstheme="minorHAnsi"/>
          <w:bCs/>
          <w:iCs/>
          <w:lang w:val="es-AR"/>
        </w:rPr>
      </w:pPr>
      <w:r>
        <w:rPr>
          <w:rFonts w:eastAsia="Times New Roman" w:cstheme="minorHAnsi"/>
          <w:bCs/>
          <w:iCs/>
          <w:lang w:val="es-AR"/>
        </w:rPr>
        <w:t xml:space="preserve">Capacitar </w:t>
      </w:r>
      <w:r w:rsidRPr="003F612F">
        <w:rPr>
          <w:rFonts w:eastAsia="Times New Roman" w:cstheme="minorHAnsi"/>
          <w:bCs/>
          <w:iCs/>
          <w:lang w:val="es-AR"/>
        </w:rPr>
        <w:t>a efectores de salud en relación a la necesidad de las PCD de contar con apoyos en atención médica e internación ante situaciones de riesgo y emergencias humanitarias.</w:t>
      </w:r>
    </w:p>
    <w:tbl>
      <w:tblPr>
        <w:tblStyle w:val="Tablaconcuadrcula"/>
        <w:tblW w:w="0" w:type="auto"/>
        <w:tblLook w:val="04A0" w:firstRow="1" w:lastRow="0" w:firstColumn="1" w:lastColumn="0" w:noHBand="0" w:noVBand="1"/>
      </w:tblPr>
      <w:tblGrid>
        <w:gridCol w:w="9736"/>
      </w:tblGrid>
      <w:tr w:rsidR="00600D59" w:rsidRPr="003F612F" w14:paraId="21EA9E52" w14:textId="77777777" w:rsidTr="00600D59">
        <w:tc>
          <w:tcPr>
            <w:tcW w:w="9736" w:type="dxa"/>
            <w:shd w:val="clear" w:color="auto" w:fill="D5DCE4" w:themeFill="text2" w:themeFillTint="33"/>
          </w:tcPr>
          <w:p w14:paraId="5B4C872D" w14:textId="4F058A2E" w:rsidR="00600D59" w:rsidRPr="00314A40" w:rsidRDefault="00600D59" w:rsidP="00762BF9">
            <w:pPr>
              <w:pStyle w:val="Ttulo2"/>
              <w:spacing w:line="276" w:lineRule="auto"/>
              <w:jc w:val="center"/>
              <w:outlineLvl w:val="1"/>
              <w:rPr>
                <w:rFonts w:asciiTheme="minorHAnsi" w:eastAsia="Times New Roman" w:hAnsiTheme="minorHAnsi" w:cstheme="minorHAnsi"/>
                <w:b/>
                <w:bCs/>
                <w:color w:val="auto"/>
                <w:sz w:val="24"/>
                <w:szCs w:val="24"/>
                <w:lang w:val="es-AR" w:eastAsia="en-GB"/>
              </w:rPr>
            </w:pPr>
            <w:bookmarkStart w:id="16" w:name="_Toc124881441"/>
            <w:r w:rsidRPr="00314A40">
              <w:rPr>
                <w:rFonts w:asciiTheme="minorHAnsi" w:eastAsia="Times New Roman" w:hAnsiTheme="minorHAnsi" w:cstheme="minorHAnsi"/>
                <w:b/>
                <w:bCs/>
                <w:color w:val="auto"/>
                <w:sz w:val="24"/>
                <w:szCs w:val="24"/>
                <w:lang w:val="es-AR" w:eastAsia="en-GB"/>
              </w:rPr>
              <w:t>Artículo 12: Igual reconocimiento como persona ante la ley</w:t>
            </w:r>
            <w:r w:rsidR="00E22C0D" w:rsidRPr="00314A40">
              <w:rPr>
                <w:rStyle w:val="Refdenotaalpie"/>
                <w:rFonts w:asciiTheme="minorHAnsi" w:eastAsia="Times New Roman" w:hAnsiTheme="minorHAnsi" w:cstheme="minorHAnsi"/>
                <w:b/>
                <w:bCs/>
                <w:color w:val="auto"/>
                <w:sz w:val="24"/>
                <w:szCs w:val="24"/>
                <w:lang w:val="es-AR" w:eastAsia="en-GB"/>
              </w:rPr>
              <w:footnoteReference w:id="42"/>
            </w:r>
            <w:bookmarkEnd w:id="16"/>
          </w:p>
        </w:tc>
      </w:tr>
    </w:tbl>
    <w:p w14:paraId="7FC921AA" w14:textId="1FD9013D" w:rsidR="00681AED" w:rsidRPr="003F612F" w:rsidRDefault="00681AED" w:rsidP="00762BF9">
      <w:pPr>
        <w:pStyle w:val="NormalWeb"/>
        <w:spacing w:before="24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Si bien se registran algunos avances normativos</w:t>
      </w:r>
      <w:r w:rsidRPr="003F612F">
        <w:rPr>
          <w:rStyle w:val="Refdenotaalpie"/>
          <w:rFonts w:asciiTheme="minorHAnsi" w:hAnsiTheme="minorHAnsi" w:cstheme="minorHAnsi"/>
          <w:color w:val="000000"/>
          <w:sz w:val="22"/>
          <w:szCs w:val="22"/>
          <w:lang w:val="es-AR"/>
        </w:rPr>
        <w:footnoteReference w:id="43"/>
      </w:r>
      <w:r w:rsidRPr="003F612F">
        <w:rPr>
          <w:rFonts w:asciiTheme="minorHAnsi" w:hAnsiTheme="minorHAnsi" w:cstheme="minorHAnsi"/>
          <w:color w:val="000000"/>
          <w:sz w:val="22"/>
          <w:szCs w:val="22"/>
          <w:lang w:val="es-AR"/>
        </w:rPr>
        <w:t xml:space="preserve">, dichas reformas legales no respetan plenamente los estándares establecidos por el Comité. El Código Civil y Comercial de la Nación incorpora la figura de los sistemas de apoyo para el ejercicio de la capacidad jurídica, pero se mantienen en algunos casos la figura de </w:t>
      </w:r>
      <w:r w:rsidR="00C31789">
        <w:rPr>
          <w:rFonts w:asciiTheme="minorHAnsi" w:hAnsiTheme="minorHAnsi" w:cstheme="minorHAnsi"/>
          <w:color w:val="000000"/>
          <w:sz w:val="22"/>
          <w:szCs w:val="22"/>
          <w:lang w:val="es-AR"/>
        </w:rPr>
        <w:t>la curatela</w:t>
      </w:r>
      <w:r w:rsidRPr="003F612F">
        <w:rPr>
          <w:rStyle w:val="Refdenotaalpie"/>
          <w:rFonts w:asciiTheme="minorHAnsi" w:hAnsiTheme="minorHAnsi" w:cstheme="minorHAnsi"/>
          <w:color w:val="000000"/>
          <w:sz w:val="22"/>
          <w:szCs w:val="22"/>
          <w:lang w:val="es-AR"/>
        </w:rPr>
        <w:footnoteReference w:id="44"/>
      </w:r>
      <w:r w:rsidR="00FF68A9">
        <w:rPr>
          <w:rFonts w:asciiTheme="minorHAnsi" w:hAnsiTheme="minorHAnsi" w:cstheme="minorHAnsi"/>
          <w:color w:val="000000"/>
          <w:sz w:val="22"/>
          <w:szCs w:val="22"/>
          <w:lang w:val="es-AR"/>
        </w:rPr>
        <w:t>.</w:t>
      </w:r>
      <w:r w:rsidRPr="003F612F">
        <w:rPr>
          <w:rFonts w:asciiTheme="minorHAnsi" w:hAnsiTheme="minorHAnsi" w:cstheme="minorHAnsi"/>
          <w:color w:val="000000"/>
          <w:sz w:val="22"/>
          <w:szCs w:val="22"/>
          <w:lang w:val="es-AR"/>
        </w:rPr>
        <w:t xml:space="preserve"> </w:t>
      </w:r>
    </w:p>
    <w:p w14:paraId="621D85A5" w14:textId="3F9F64CF" w:rsidR="00681AED" w:rsidRPr="003F612F" w:rsidRDefault="00681AED"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En los procesos de determinación de la capacidad jurídica sigue teniendo un enorme peso el diagnóstico de la persona</w:t>
      </w:r>
      <w:r w:rsidRPr="003F612F">
        <w:rPr>
          <w:rStyle w:val="Refdenotaalpie"/>
          <w:rFonts w:asciiTheme="minorHAnsi" w:hAnsiTheme="minorHAnsi" w:cstheme="minorHAnsi"/>
          <w:color w:val="000000"/>
          <w:sz w:val="22"/>
          <w:szCs w:val="22"/>
          <w:lang w:val="es-AR"/>
        </w:rPr>
        <w:footnoteReference w:id="45"/>
      </w:r>
      <w:r w:rsidRPr="003F612F">
        <w:rPr>
          <w:rFonts w:asciiTheme="minorHAnsi" w:hAnsiTheme="minorHAnsi" w:cstheme="minorHAnsi"/>
          <w:color w:val="000000"/>
          <w:sz w:val="22"/>
          <w:szCs w:val="22"/>
          <w:lang w:val="es-AR"/>
        </w:rPr>
        <w:t xml:space="preserve"> y no existen protocolos de valoración de apoyos que promuevan un trabajo respetuoso del derecho a la capacidad jurídica. Cabe agregar que muchos de estos procesos judiciales no se vinculan con la designación de apoyos de confianza para actos jurídicos concretos, sino en la enumeración de derechos que son restringidos y que no siempre tienen correlación con la vida de las personas. </w:t>
      </w:r>
    </w:p>
    <w:p w14:paraId="219CF3C5" w14:textId="35F20613" w:rsidR="00681AED" w:rsidRPr="003F612F" w:rsidRDefault="00681AED"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 xml:space="preserve">Por otra parte, </w:t>
      </w:r>
      <w:r w:rsidR="009003B6">
        <w:rPr>
          <w:rFonts w:asciiTheme="minorHAnsi" w:hAnsiTheme="minorHAnsi" w:cstheme="minorHAnsi"/>
          <w:color w:val="000000"/>
          <w:sz w:val="22"/>
          <w:szCs w:val="22"/>
          <w:lang w:val="es-AR"/>
        </w:rPr>
        <w:t xml:space="preserve">persiste </w:t>
      </w:r>
      <w:r w:rsidR="00117D59">
        <w:rPr>
          <w:rFonts w:asciiTheme="minorHAnsi" w:hAnsiTheme="minorHAnsi" w:cstheme="minorHAnsi"/>
          <w:color w:val="000000"/>
          <w:sz w:val="22"/>
          <w:szCs w:val="22"/>
          <w:lang w:val="es-AR"/>
        </w:rPr>
        <w:t>la</w:t>
      </w:r>
      <w:r w:rsidR="009003B6" w:rsidRPr="003F612F">
        <w:rPr>
          <w:rFonts w:asciiTheme="minorHAnsi" w:hAnsiTheme="minorHAnsi" w:cstheme="minorHAnsi"/>
          <w:color w:val="000000"/>
          <w:sz w:val="22"/>
          <w:szCs w:val="22"/>
          <w:lang w:val="es-AR"/>
        </w:rPr>
        <w:t xml:space="preserve"> </w:t>
      </w:r>
      <w:r w:rsidRPr="003F612F">
        <w:rPr>
          <w:rFonts w:asciiTheme="minorHAnsi" w:hAnsiTheme="minorHAnsi" w:cstheme="minorHAnsi"/>
          <w:color w:val="000000"/>
          <w:sz w:val="22"/>
          <w:szCs w:val="22"/>
          <w:lang w:val="es-AR"/>
        </w:rPr>
        <w:t xml:space="preserve">inexistencia de salvaguardias en las sentencias judiciales, </w:t>
      </w:r>
      <w:r w:rsidR="00117D59">
        <w:rPr>
          <w:rFonts w:asciiTheme="minorHAnsi" w:hAnsiTheme="minorHAnsi" w:cstheme="minorHAnsi"/>
          <w:color w:val="000000"/>
          <w:sz w:val="22"/>
          <w:szCs w:val="22"/>
          <w:lang w:val="es-AR"/>
        </w:rPr>
        <w:t>por lo que no se</w:t>
      </w:r>
      <w:r w:rsidR="00117D59" w:rsidRPr="003F612F">
        <w:rPr>
          <w:rFonts w:asciiTheme="minorHAnsi" w:hAnsiTheme="minorHAnsi" w:cstheme="minorHAnsi"/>
          <w:color w:val="000000"/>
          <w:sz w:val="22"/>
          <w:szCs w:val="22"/>
          <w:lang w:val="es-AR"/>
        </w:rPr>
        <w:t xml:space="preserve"> </w:t>
      </w:r>
      <w:r w:rsidRPr="003F612F">
        <w:rPr>
          <w:rFonts w:asciiTheme="minorHAnsi" w:hAnsiTheme="minorHAnsi" w:cstheme="minorHAnsi"/>
          <w:color w:val="000000"/>
          <w:sz w:val="22"/>
          <w:szCs w:val="22"/>
          <w:lang w:val="es-AR"/>
        </w:rPr>
        <w:t>garantiza</w:t>
      </w:r>
      <w:r w:rsidR="00117D59">
        <w:rPr>
          <w:rFonts w:asciiTheme="minorHAnsi" w:hAnsiTheme="minorHAnsi" w:cstheme="minorHAnsi"/>
          <w:color w:val="000000"/>
          <w:sz w:val="22"/>
          <w:szCs w:val="22"/>
          <w:lang w:val="es-AR"/>
        </w:rPr>
        <w:t>n</w:t>
      </w:r>
      <w:r w:rsidRPr="003F612F">
        <w:rPr>
          <w:rFonts w:asciiTheme="minorHAnsi" w:hAnsiTheme="minorHAnsi" w:cstheme="minorHAnsi"/>
          <w:color w:val="000000"/>
          <w:sz w:val="22"/>
          <w:szCs w:val="22"/>
          <w:lang w:val="es-AR"/>
        </w:rPr>
        <w:t xml:space="preserve"> mecanismos ágiles para que las personas puedan denunciar que sus apoyos no están respetando sus deseos y preferencias. Nada impide que en la práctica los apoyos sustituyan la voluntad de las personas.</w:t>
      </w:r>
    </w:p>
    <w:p w14:paraId="1D408477" w14:textId="03E76E52" w:rsidR="00681AED" w:rsidRPr="003F612F" w:rsidRDefault="00681AED"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lastRenderedPageBreak/>
        <w:t xml:space="preserve">Si bien se avanzó en la revisión periódica de las sentencias de declaración de insania o inhabilitación dictadas según el régimen anterior, en muchos casos las nuevas sentencias </w:t>
      </w:r>
      <w:r w:rsidR="003D1A86">
        <w:rPr>
          <w:rFonts w:asciiTheme="minorHAnsi" w:hAnsiTheme="minorHAnsi" w:cstheme="minorHAnsi"/>
          <w:color w:val="000000"/>
          <w:sz w:val="22"/>
          <w:szCs w:val="22"/>
          <w:lang w:val="es-AR"/>
        </w:rPr>
        <w:t xml:space="preserve">siguen </w:t>
      </w:r>
      <w:r w:rsidR="00B531CB">
        <w:rPr>
          <w:rFonts w:asciiTheme="minorHAnsi" w:hAnsiTheme="minorHAnsi" w:cstheme="minorHAnsi"/>
          <w:color w:val="000000"/>
          <w:sz w:val="22"/>
          <w:szCs w:val="22"/>
          <w:lang w:val="es-AR"/>
        </w:rPr>
        <w:t>fundándose conceptualmente en el modelo de curatela</w:t>
      </w:r>
      <w:r w:rsidRPr="003F612F">
        <w:rPr>
          <w:rFonts w:asciiTheme="minorHAnsi" w:hAnsiTheme="minorHAnsi" w:cstheme="minorHAnsi"/>
          <w:color w:val="000000"/>
          <w:sz w:val="22"/>
          <w:szCs w:val="22"/>
          <w:lang w:val="es-AR"/>
        </w:rPr>
        <w:t>. </w:t>
      </w:r>
    </w:p>
    <w:p w14:paraId="57A93E95" w14:textId="45817501" w:rsidR="00E413A2" w:rsidRPr="002E75BF" w:rsidRDefault="009E77FB" w:rsidP="00762BF9">
      <w:pPr>
        <w:spacing w:after="240" w:line="276" w:lineRule="auto"/>
        <w:jc w:val="both"/>
        <w:rPr>
          <w:rFonts w:eastAsia="Times New Roman" w:cstheme="minorHAnsi"/>
          <w:b/>
          <w:bCs/>
          <w:i/>
          <w:lang w:val="es-AR"/>
        </w:rPr>
      </w:pPr>
      <w:r w:rsidRPr="002E75BF">
        <w:rPr>
          <w:rFonts w:eastAsia="Times New Roman" w:cstheme="minorHAnsi"/>
          <w:b/>
          <w:bCs/>
          <w:i/>
          <w:u w:val="single"/>
          <w:lang w:val="es-AR"/>
        </w:rPr>
        <w:t xml:space="preserve">Recomendaciones </w:t>
      </w:r>
      <w:r w:rsidR="00E413A2" w:rsidRPr="002E75BF">
        <w:rPr>
          <w:rFonts w:eastAsia="Times New Roman" w:cstheme="minorHAnsi"/>
          <w:b/>
          <w:bCs/>
          <w:i/>
          <w:u w:val="single"/>
          <w:lang w:val="es-AR"/>
        </w:rPr>
        <w:t>sugeridas al Estado</w:t>
      </w:r>
      <w:r w:rsidR="00E413A2" w:rsidRPr="002E75BF">
        <w:rPr>
          <w:rFonts w:eastAsia="Times New Roman" w:cstheme="minorHAnsi"/>
          <w:b/>
          <w:bCs/>
          <w:i/>
          <w:lang w:val="es-AR"/>
        </w:rPr>
        <w:t xml:space="preserve">: </w:t>
      </w:r>
    </w:p>
    <w:p w14:paraId="13444E9B" w14:textId="3B7B03D2" w:rsidR="003F3056" w:rsidRPr="002E75BF" w:rsidRDefault="003F3056" w:rsidP="00762BF9">
      <w:pPr>
        <w:pStyle w:val="Prrafodelista"/>
        <w:numPr>
          <w:ilvl w:val="0"/>
          <w:numId w:val="30"/>
        </w:numPr>
        <w:spacing w:after="240" w:line="276" w:lineRule="auto"/>
        <w:jc w:val="both"/>
        <w:rPr>
          <w:rFonts w:eastAsia="Times New Roman" w:cstheme="minorHAnsi"/>
          <w:i/>
          <w:u w:val="single"/>
        </w:rPr>
      </w:pPr>
      <w:r w:rsidRPr="002E75BF">
        <w:rPr>
          <w:rFonts w:ascii="Calibri" w:hAnsi="Calibri" w:cs="Calibri"/>
          <w:shd w:val="clear" w:color="auto" w:fill="FFFFFF"/>
        </w:rPr>
        <w:t xml:space="preserve">Promover una </w:t>
      </w:r>
      <w:r w:rsidR="00507705">
        <w:rPr>
          <w:rFonts w:ascii="Calibri" w:hAnsi="Calibri" w:cs="Calibri"/>
          <w:shd w:val="clear" w:color="auto" w:fill="FFFFFF"/>
        </w:rPr>
        <w:t>l</w:t>
      </w:r>
      <w:r w:rsidRPr="002E75BF">
        <w:rPr>
          <w:rFonts w:ascii="Calibri" w:hAnsi="Calibri" w:cs="Calibri"/>
          <w:shd w:val="clear" w:color="auto" w:fill="FFFFFF"/>
        </w:rPr>
        <w:t xml:space="preserve">ey que facilite la provisión de apoyos y salvaguardias para PCD que sea un complemento de lo establecido por el Código Civil y Comercial en relación a la capacidad jurídica de las PCD. </w:t>
      </w:r>
    </w:p>
    <w:tbl>
      <w:tblPr>
        <w:tblStyle w:val="Tablaconcuadrcula"/>
        <w:tblW w:w="0" w:type="auto"/>
        <w:tblLook w:val="04A0" w:firstRow="1" w:lastRow="0" w:firstColumn="1" w:lastColumn="0" w:noHBand="0" w:noVBand="1"/>
      </w:tblPr>
      <w:tblGrid>
        <w:gridCol w:w="9736"/>
      </w:tblGrid>
      <w:tr w:rsidR="002E75BF" w:rsidRPr="002E75BF" w14:paraId="51F7E05E" w14:textId="77777777" w:rsidTr="009F6ACE">
        <w:tc>
          <w:tcPr>
            <w:tcW w:w="9736" w:type="dxa"/>
            <w:shd w:val="clear" w:color="auto" w:fill="D5DCE4" w:themeFill="text2" w:themeFillTint="33"/>
          </w:tcPr>
          <w:p w14:paraId="1F105E21" w14:textId="7DE7901A" w:rsidR="009F6ACE" w:rsidRPr="002E75BF" w:rsidRDefault="009F6ACE"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17" w:name="_Toc124881442"/>
            <w:r w:rsidRPr="002E75BF">
              <w:rPr>
                <w:rFonts w:asciiTheme="minorHAnsi" w:eastAsia="Times New Roman" w:hAnsiTheme="minorHAnsi" w:cstheme="minorHAnsi"/>
                <w:b/>
                <w:bCs/>
                <w:color w:val="auto"/>
                <w:sz w:val="24"/>
                <w:szCs w:val="24"/>
                <w:lang w:val="es-AR"/>
              </w:rPr>
              <w:t>Artículo 13: Acceso a la justicia</w:t>
            </w:r>
            <w:bookmarkEnd w:id="17"/>
          </w:p>
        </w:tc>
      </w:tr>
    </w:tbl>
    <w:p w14:paraId="38841DF4" w14:textId="52FDF57B" w:rsidR="00F63A4D" w:rsidRPr="003F612F" w:rsidRDefault="002A3869" w:rsidP="00F63A4D">
      <w:pPr>
        <w:spacing w:before="240" w:after="240" w:line="276" w:lineRule="auto"/>
        <w:ind w:firstLine="720"/>
        <w:jc w:val="both"/>
        <w:rPr>
          <w:rFonts w:eastAsia="Times New Roman" w:cstheme="minorHAnsi"/>
          <w:lang w:val="es-AR"/>
        </w:rPr>
      </w:pPr>
      <w:r w:rsidRPr="002E75BF">
        <w:rPr>
          <w:rFonts w:eastAsia="Times New Roman" w:cstheme="minorHAnsi"/>
          <w:lang w:val="es-AR"/>
        </w:rPr>
        <w:t xml:space="preserve">El </w:t>
      </w:r>
      <w:r w:rsidR="00E413A2" w:rsidRPr="002E75BF">
        <w:rPr>
          <w:rFonts w:eastAsia="Times New Roman" w:cstheme="minorHAnsi"/>
          <w:lang w:val="es-AR"/>
        </w:rPr>
        <w:t xml:space="preserve">acceso </w:t>
      </w:r>
      <w:r w:rsidR="00E413A2" w:rsidRPr="003F612F">
        <w:rPr>
          <w:rFonts w:eastAsia="Times New Roman" w:cstheme="minorHAnsi"/>
          <w:lang w:val="es-AR"/>
        </w:rPr>
        <w:t>a la justicia de las PCD</w:t>
      </w:r>
      <w:r>
        <w:rPr>
          <w:rFonts w:eastAsia="Times New Roman" w:cstheme="minorHAnsi"/>
          <w:lang w:val="es-AR"/>
        </w:rPr>
        <w:t xml:space="preserve"> </w:t>
      </w:r>
      <w:r w:rsidR="00F63A4D">
        <w:rPr>
          <w:rFonts w:eastAsia="Times New Roman" w:cstheme="minorHAnsi"/>
          <w:lang w:val="es-AR"/>
        </w:rPr>
        <w:t xml:space="preserve">se ve afectado </w:t>
      </w:r>
      <w:r>
        <w:rPr>
          <w:rFonts w:eastAsia="Times New Roman" w:cstheme="minorHAnsi"/>
          <w:lang w:val="es-AR"/>
        </w:rPr>
        <w:t>por la ausencia de</w:t>
      </w:r>
      <w:r w:rsidR="00E413A2" w:rsidRPr="003F612F">
        <w:rPr>
          <w:rFonts w:eastAsia="Times New Roman" w:cstheme="minorHAnsi"/>
          <w:lang w:val="es-AR"/>
        </w:rPr>
        <w:t xml:space="preserve"> suficientes servicios de asesoramiento, asistencia y patrocinio jurídico gratuito</w:t>
      </w:r>
      <w:r>
        <w:rPr>
          <w:rFonts w:eastAsia="Times New Roman" w:cstheme="minorHAnsi"/>
          <w:lang w:val="es-AR"/>
        </w:rPr>
        <w:t xml:space="preserve">. Asimismo, </w:t>
      </w:r>
      <w:r w:rsidR="00E413A2" w:rsidRPr="003F612F">
        <w:rPr>
          <w:rFonts w:eastAsia="Times New Roman" w:cstheme="minorHAnsi"/>
          <w:lang w:val="es-AR"/>
        </w:rPr>
        <w:t>los pocos que hay exhiben falencia</w:t>
      </w:r>
      <w:r w:rsidR="00F63A4D">
        <w:rPr>
          <w:rFonts w:ascii="Calibri" w:hAnsi="Calibri" w:cs="Calibri"/>
          <w:color w:val="222222"/>
          <w:shd w:val="clear" w:color="auto" w:fill="FFFFFF"/>
        </w:rPr>
        <w:t>. Se destaca</w:t>
      </w:r>
      <w:r w:rsidR="00F63A4D" w:rsidRPr="003F612F">
        <w:rPr>
          <w:rFonts w:eastAsia="Times New Roman" w:cstheme="minorHAnsi"/>
          <w:lang w:val="es-AR"/>
        </w:rPr>
        <w:t xml:space="preserve"> </w:t>
      </w:r>
      <w:r w:rsidR="00F63A4D">
        <w:rPr>
          <w:rFonts w:eastAsia="Times New Roman" w:cstheme="minorHAnsi"/>
          <w:lang w:val="es-AR"/>
        </w:rPr>
        <w:t xml:space="preserve">la distancia en la que se encuentran; la falta </w:t>
      </w:r>
      <w:r w:rsidR="00F63A4D" w:rsidRPr="003F612F">
        <w:rPr>
          <w:rFonts w:eastAsia="Times New Roman" w:cstheme="minorHAnsi"/>
          <w:lang w:val="es-AR"/>
        </w:rPr>
        <w:t>de infraestructura e información accesible; reali</w:t>
      </w:r>
      <w:r w:rsidR="00F63A4D">
        <w:rPr>
          <w:rFonts w:eastAsia="Times New Roman" w:cstheme="minorHAnsi"/>
          <w:lang w:val="es-AR"/>
        </w:rPr>
        <w:t xml:space="preserve">zan </w:t>
      </w:r>
      <w:r w:rsidR="00F63A4D" w:rsidRPr="003F612F">
        <w:rPr>
          <w:rFonts w:eastAsia="Times New Roman" w:cstheme="minorHAnsi"/>
          <w:lang w:val="es-AR"/>
        </w:rPr>
        <w:t xml:space="preserve">un asesoramiento preliminar </w:t>
      </w:r>
      <w:r w:rsidR="00F63A4D">
        <w:rPr>
          <w:rFonts w:eastAsia="Times New Roman" w:cstheme="minorHAnsi"/>
          <w:lang w:val="es-AR"/>
        </w:rPr>
        <w:t>sin poder</w:t>
      </w:r>
      <w:r w:rsidR="00F63A4D" w:rsidRPr="003F612F">
        <w:rPr>
          <w:rFonts w:eastAsia="Times New Roman" w:cstheme="minorHAnsi"/>
          <w:lang w:val="es-AR"/>
        </w:rPr>
        <w:t xml:space="preserve"> representar en juicio; exi</w:t>
      </w:r>
      <w:r w:rsidR="00F63A4D">
        <w:rPr>
          <w:rFonts w:eastAsia="Times New Roman" w:cstheme="minorHAnsi"/>
          <w:lang w:val="es-AR"/>
        </w:rPr>
        <w:t>ge</w:t>
      </w:r>
      <w:r w:rsidR="00F63A4D" w:rsidRPr="003F612F">
        <w:rPr>
          <w:rFonts w:eastAsia="Times New Roman" w:cstheme="minorHAnsi"/>
          <w:lang w:val="es-AR"/>
        </w:rPr>
        <w:t>n el requisito de pobreza extrema como condición para as</w:t>
      </w:r>
      <w:r w:rsidR="00F63A4D">
        <w:rPr>
          <w:rFonts w:eastAsia="Times New Roman" w:cstheme="minorHAnsi"/>
          <w:lang w:val="es-AR"/>
        </w:rPr>
        <w:t>istir a las PCD</w:t>
      </w:r>
      <w:r w:rsidR="00F63A4D" w:rsidRPr="003F612F">
        <w:rPr>
          <w:rFonts w:eastAsia="Times New Roman" w:cstheme="minorHAnsi"/>
          <w:lang w:val="es-AR"/>
        </w:rPr>
        <w:t>; no cuent</w:t>
      </w:r>
      <w:r w:rsidR="00F63A4D">
        <w:rPr>
          <w:rFonts w:eastAsia="Times New Roman" w:cstheme="minorHAnsi"/>
          <w:lang w:val="es-AR"/>
        </w:rPr>
        <w:t>a</w:t>
      </w:r>
      <w:r w:rsidR="00F63A4D" w:rsidRPr="003F612F">
        <w:rPr>
          <w:rFonts w:eastAsia="Times New Roman" w:cstheme="minorHAnsi"/>
          <w:lang w:val="es-AR"/>
        </w:rPr>
        <w:t xml:space="preserve">n con personal formado en el modelo social de la discapacidad. </w:t>
      </w:r>
      <w:r w:rsidR="00F63A4D">
        <w:rPr>
          <w:rFonts w:eastAsia="Times New Roman" w:cstheme="minorHAnsi"/>
          <w:lang w:val="es-AR"/>
        </w:rPr>
        <w:t xml:space="preserve">En muchos casos, </w:t>
      </w:r>
      <w:r w:rsidR="00F63A4D" w:rsidRPr="003F612F">
        <w:rPr>
          <w:rFonts w:eastAsia="Times New Roman" w:cstheme="minorHAnsi"/>
          <w:lang w:val="es-AR"/>
        </w:rPr>
        <w:t xml:space="preserve">las PCD son derivadas de un organismo a otro </w:t>
      </w:r>
      <w:r w:rsidR="00F63A4D">
        <w:rPr>
          <w:rFonts w:eastAsia="Times New Roman" w:cstheme="minorHAnsi"/>
          <w:lang w:val="es-AR"/>
        </w:rPr>
        <w:t>sin respuestas y so</w:t>
      </w:r>
      <w:r w:rsidR="00F63A4D" w:rsidRPr="003F612F">
        <w:rPr>
          <w:rFonts w:eastAsia="Times New Roman" w:cstheme="minorHAnsi"/>
          <w:lang w:val="es-AR"/>
        </w:rPr>
        <w:t xml:space="preserve">n las organizaciones de la sociedad civil las que intentan sustituir la inacción de los entes públicos. </w:t>
      </w:r>
      <w:r w:rsidR="00F63A4D">
        <w:rPr>
          <w:rFonts w:eastAsia="Times New Roman" w:cstheme="minorHAnsi"/>
          <w:lang w:val="es-AR"/>
        </w:rPr>
        <w:t>Aunado a ello, s</w:t>
      </w:r>
      <w:proofErr w:type="spellStart"/>
      <w:r w:rsidR="00F63A4D">
        <w:rPr>
          <w:rFonts w:ascii="Calibri" w:hAnsi="Calibri" w:cs="Calibri"/>
          <w:color w:val="222222"/>
          <w:shd w:val="clear" w:color="auto" w:fill="FFFFFF"/>
        </w:rPr>
        <w:t>e</w:t>
      </w:r>
      <w:proofErr w:type="spellEnd"/>
      <w:r w:rsidR="00F63A4D">
        <w:rPr>
          <w:rFonts w:ascii="Calibri" w:hAnsi="Calibri" w:cs="Calibri"/>
          <w:color w:val="222222"/>
          <w:shd w:val="clear" w:color="auto" w:fill="FFFFFF"/>
        </w:rPr>
        <w:t xml:space="preserve"> verifica la inexistencia de accesibilidad para personas sordas mediante facilitadores de comunicación e intérpretes de lengua de señas. Tampoco se conoce que se haya avanzado el registro único de intérpretes de lengua de señas, mencionado en el Informe País</w:t>
      </w:r>
      <w:r w:rsidR="00F63A4D">
        <w:rPr>
          <w:rStyle w:val="Refdenotaalpie"/>
          <w:rFonts w:ascii="Calibri" w:hAnsi="Calibri" w:cs="Calibri"/>
          <w:color w:val="222222"/>
          <w:shd w:val="clear" w:color="auto" w:fill="FFFFFF"/>
        </w:rPr>
        <w:footnoteReference w:id="46"/>
      </w:r>
      <w:r w:rsidR="00F63A4D">
        <w:rPr>
          <w:rFonts w:ascii="Calibri" w:hAnsi="Calibri" w:cs="Calibri"/>
          <w:color w:val="222222"/>
          <w:shd w:val="clear" w:color="auto" w:fill="FFFFFF"/>
        </w:rPr>
        <w:t>.</w:t>
      </w:r>
    </w:p>
    <w:p w14:paraId="3751974E" w14:textId="18918590" w:rsidR="002A3869" w:rsidRPr="001972DB" w:rsidRDefault="0021647C" w:rsidP="00762BF9">
      <w:pPr>
        <w:spacing w:before="240" w:after="240" w:line="276" w:lineRule="auto"/>
        <w:ind w:firstLine="720"/>
        <w:jc w:val="both"/>
        <w:rPr>
          <w:rFonts w:ascii="Calibri" w:hAnsi="Calibri" w:cs="Calibri"/>
          <w:color w:val="222222"/>
          <w:shd w:val="clear" w:color="auto" w:fill="FFFFFF"/>
        </w:rPr>
      </w:pPr>
      <w:r>
        <w:rPr>
          <w:rFonts w:ascii="Calibri" w:hAnsi="Calibri" w:cs="Calibri"/>
          <w:color w:val="222222"/>
          <w:shd w:val="clear" w:color="auto" w:fill="FFFFFF"/>
        </w:rPr>
        <w:t xml:space="preserve">El Programa ADAJUS del Ministerio de Justicia de DDHH sigue sin contar con los recursos suficientes para facilitar el acceso a la justicia, a pesar de las mejoras </w:t>
      </w:r>
      <w:r w:rsidR="00F63A4D">
        <w:rPr>
          <w:rFonts w:ascii="Calibri" w:hAnsi="Calibri" w:cs="Calibri"/>
          <w:color w:val="222222"/>
          <w:shd w:val="clear" w:color="auto" w:fill="FFFFFF"/>
        </w:rPr>
        <w:t xml:space="preserve">no comprobadas </w:t>
      </w:r>
      <w:r>
        <w:rPr>
          <w:rFonts w:ascii="Calibri" w:hAnsi="Calibri" w:cs="Calibri"/>
          <w:color w:val="222222"/>
          <w:shd w:val="clear" w:color="auto" w:fill="FFFFFF"/>
        </w:rPr>
        <w:t xml:space="preserve">a las que alude </w:t>
      </w:r>
      <w:r w:rsidR="000704EF">
        <w:rPr>
          <w:rFonts w:ascii="Calibri" w:hAnsi="Calibri" w:cs="Calibri"/>
          <w:color w:val="222222"/>
          <w:shd w:val="clear" w:color="auto" w:fill="FFFFFF"/>
        </w:rPr>
        <w:t>e</w:t>
      </w:r>
      <w:r>
        <w:rPr>
          <w:rFonts w:ascii="Calibri" w:hAnsi="Calibri" w:cs="Calibri"/>
          <w:color w:val="222222"/>
          <w:shd w:val="clear" w:color="auto" w:fill="FFFFFF"/>
        </w:rPr>
        <w:t>l Informe País</w:t>
      </w:r>
      <w:r w:rsidR="00F63A4D">
        <w:rPr>
          <w:rStyle w:val="Refdenotaalpie"/>
          <w:rFonts w:ascii="Calibri" w:hAnsi="Calibri" w:cs="Calibri"/>
          <w:color w:val="222222"/>
          <w:shd w:val="clear" w:color="auto" w:fill="FFFFFF"/>
        </w:rPr>
        <w:footnoteReference w:id="47"/>
      </w:r>
      <w:r>
        <w:rPr>
          <w:rFonts w:ascii="Calibri" w:hAnsi="Calibri" w:cs="Calibri"/>
          <w:color w:val="222222"/>
          <w:shd w:val="clear" w:color="auto" w:fill="FFFFFF"/>
        </w:rPr>
        <w:t>.</w:t>
      </w:r>
    </w:p>
    <w:p w14:paraId="14CCE91E" w14:textId="5F6D585E" w:rsidR="00E413A2" w:rsidRPr="003F612F" w:rsidRDefault="00E413A2" w:rsidP="00762BF9">
      <w:pPr>
        <w:spacing w:after="240" w:line="276" w:lineRule="auto"/>
        <w:ind w:firstLine="720"/>
        <w:jc w:val="both"/>
        <w:rPr>
          <w:rFonts w:eastAsia="Times New Roman" w:cstheme="minorHAnsi"/>
          <w:lang w:val="es-AR"/>
        </w:rPr>
      </w:pPr>
      <w:r w:rsidRPr="003F612F">
        <w:rPr>
          <w:rFonts w:eastAsia="Times New Roman" w:cstheme="minorHAnsi"/>
          <w:lang w:val="es-AR"/>
        </w:rPr>
        <w:t xml:space="preserve">En el plano normativo, </w:t>
      </w:r>
      <w:r w:rsidR="00A12F34" w:rsidRPr="003F612F">
        <w:rPr>
          <w:rFonts w:eastAsia="Times New Roman" w:cstheme="minorHAnsi"/>
          <w:lang w:val="es-AR"/>
        </w:rPr>
        <w:t>s</w:t>
      </w:r>
      <w:r w:rsidRPr="003F612F">
        <w:rPr>
          <w:rFonts w:eastAsia="Times New Roman" w:cstheme="minorHAnsi"/>
          <w:lang w:val="es-AR"/>
        </w:rPr>
        <w:t xml:space="preserve">i bien el Código Civil y Comercial de la Nación incorpora la figura de los ajustes de procedimiento en los procesos de determinación de la capacidad jurídica, no se han llevado a cabo reformas </w:t>
      </w:r>
      <w:r w:rsidR="00F63A4D">
        <w:rPr>
          <w:rFonts w:eastAsia="Times New Roman" w:cstheme="minorHAnsi"/>
          <w:lang w:val="es-AR"/>
        </w:rPr>
        <w:t>procesales a nivel provincial</w:t>
      </w:r>
      <w:r w:rsidRPr="003F612F">
        <w:rPr>
          <w:rFonts w:eastAsia="Times New Roman" w:cstheme="minorHAnsi"/>
          <w:lang w:val="es-AR"/>
        </w:rPr>
        <w:t xml:space="preserve"> que garanticen </w:t>
      </w:r>
      <w:r w:rsidR="00A12F34" w:rsidRPr="003F612F">
        <w:rPr>
          <w:rFonts w:eastAsia="Times New Roman" w:cstheme="minorHAnsi"/>
          <w:lang w:val="es-AR"/>
        </w:rPr>
        <w:t xml:space="preserve">los ajustes de procedimientos </w:t>
      </w:r>
      <w:r w:rsidRPr="003F612F">
        <w:rPr>
          <w:rFonts w:eastAsia="Times New Roman" w:cstheme="minorHAnsi"/>
          <w:lang w:val="es-AR"/>
        </w:rPr>
        <w:t>e incorporen los estándares de la C</w:t>
      </w:r>
      <w:r w:rsidR="000334D4">
        <w:rPr>
          <w:rFonts w:eastAsia="Times New Roman" w:cstheme="minorHAnsi"/>
          <w:lang w:val="es-AR"/>
        </w:rPr>
        <w:t>onvención.</w:t>
      </w:r>
      <w:r w:rsidRPr="003F612F">
        <w:rPr>
          <w:rFonts w:eastAsia="Times New Roman" w:cstheme="minorHAnsi"/>
          <w:lang w:val="es-AR"/>
        </w:rPr>
        <w:t xml:space="preserve"> </w:t>
      </w:r>
      <w:r w:rsidR="00A12F34" w:rsidRPr="003F612F">
        <w:rPr>
          <w:rFonts w:eastAsia="Times New Roman" w:cstheme="minorHAnsi"/>
          <w:lang w:val="es-AR"/>
        </w:rPr>
        <w:t>También</w:t>
      </w:r>
      <w:r w:rsidRPr="003F612F">
        <w:rPr>
          <w:rFonts w:eastAsia="Times New Roman" w:cstheme="minorHAnsi"/>
          <w:lang w:val="es-AR"/>
        </w:rPr>
        <w:t xml:space="preserve"> mantienen la posibilidad de suspender los procesos judiciales si se considera que la persona tiene una incapacidad sobreviniente. La consecuencia de ello no solo repercute en el derecho de la persona a ser juzgada en un plazo razonable con los ajustes de procedimiento que se requieran, sino también que la persona puede ser privada de su libertad con fundamentos basados en la peligrosidad</w:t>
      </w:r>
      <w:r w:rsidR="000637B3">
        <w:rPr>
          <w:rFonts w:eastAsia="Times New Roman" w:cstheme="minorHAnsi"/>
          <w:lang w:val="es-AR"/>
        </w:rPr>
        <w:t>, bajo medidas de seguridad</w:t>
      </w:r>
      <w:r w:rsidR="00F63A4D">
        <w:rPr>
          <w:rStyle w:val="Refdenotaalpie"/>
          <w:rFonts w:eastAsia="Times New Roman" w:cstheme="minorHAnsi"/>
          <w:lang w:val="es-AR"/>
        </w:rPr>
        <w:footnoteReference w:id="48"/>
      </w:r>
      <w:r w:rsidR="00F63A4D">
        <w:rPr>
          <w:rFonts w:eastAsia="Times New Roman" w:cstheme="minorHAnsi"/>
          <w:lang w:val="es-AR"/>
        </w:rPr>
        <w:t>.</w:t>
      </w:r>
    </w:p>
    <w:p w14:paraId="073400CE" w14:textId="77777777" w:rsidR="00C43BA8" w:rsidRPr="003F612F" w:rsidRDefault="00C66191" w:rsidP="00762BF9">
      <w:pPr>
        <w:spacing w:after="240" w:line="276" w:lineRule="auto"/>
        <w:ind w:firstLine="720"/>
        <w:jc w:val="both"/>
        <w:rPr>
          <w:rFonts w:eastAsia="Times New Roman" w:cstheme="minorHAnsi"/>
          <w:lang w:val="es-AR"/>
        </w:rPr>
      </w:pPr>
      <w:r w:rsidRPr="003F612F">
        <w:rPr>
          <w:rFonts w:eastAsia="Times New Roman" w:cstheme="minorHAnsi"/>
          <w:lang w:val="es-AR"/>
        </w:rPr>
        <w:t>Cabe decir que, en</w:t>
      </w:r>
      <w:r w:rsidR="00E413A2" w:rsidRPr="003F612F">
        <w:rPr>
          <w:rFonts w:eastAsia="Times New Roman" w:cstheme="minorHAnsi"/>
          <w:lang w:val="es-AR"/>
        </w:rPr>
        <w:t xml:space="preserve"> algunas instituciones y organismo locales se están realizando capacitaciones para lograr obtener una atención adecuada a las PCD</w:t>
      </w:r>
      <w:r w:rsidR="00E413A2" w:rsidRPr="003F612F">
        <w:rPr>
          <w:rStyle w:val="Refdenotaalpie"/>
          <w:rFonts w:eastAsia="Times New Roman" w:cstheme="minorHAnsi"/>
          <w:lang w:val="es-AR"/>
        </w:rPr>
        <w:footnoteReference w:id="49"/>
      </w:r>
      <w:r w:rsidR="00E413A2" w:rsidRPr="003F612F">
        <w:rPr>
          <w:rFonts w:eastAsia="Times New Roman" w:cstheme="minorHAnsi"/>
          <w:lang w:val="es-AR"/>
        </w:rPr>
        <w:t>. Sin embargo, es un proceso demasiado lento que requiere de mayor celeridad y transversalidad para allanar las barreras existentes.</w:t>
      </w:r>
    </w:p>
    <w:p w14:paraId="703000BF" w14:textId="5E3BC339" w:rsidR="00E413A2" w:rsidRPr="003F612F" w:rsidRDefault="001E1551"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sugeridas al Estado:</w:t>
      </w:r>
    </w:p>
    <w:p w14:paraId="69B64F70" w14:textId="56489CED" w:rsidR="006334A2" w:rsidRPr="003F612F" w:rsidRDefault="00340BCB" w:rsidP="00762BF9">
      <w:pPr>
        <w:pStyle w:val="Prrafodelista"/>
        <w:numPr>
          <w:ilvl w:val="0"/>
          <w:numId w:val="10"/>
        </w:numPr>
        <w:spacing w:after="240" w:line="276" w:lineRule="auto"/>
        <w:ind w:left="714" w:hanging="357"/>
        <w:contextualSpacing w:val="0"/>
        <w:jc w:val="both"/>
        <w:rPr>
          <w:rFonts w:eastAsia="Times New Roman" w:cstheme="minorHAnsi"/>
          <w:bCs/>
          <w:iCs/>
          <w:lang w:val="es-AR"/>
        </w:rPr>
      </w:pPr>
      <w:r>
        <w:rPr>
          <w:rFonts w:eastAsia="Times New Roman" w:cstheme="minorHAnsi"/>
          <w:bCs/>
          <w:iCs/>
          <w:lang w:val="es-AR"/>
        </w:rPr>
        <w:lastRenderedPageBreak/>
        <w:t xml:space="preserve">Amplificar el alcance del </w:t>
      </w:r>
      <w:proofErr w:type="spellStart"/>
      <w:r>
        <w:rPr>
          <w:rFonts w:eastAsia="Times New Roman" w:cstheme="minorHAnsi"/>
          <w:bCs/>
          <w:iCs/>
          <w:lang w:val="es-AR"/>
        </w:rPr>
        <w:t>de</w:t>
      </w:r>
      <w:r w:rsidR="006334A2">
        <w:rPr>
          <w:rFonts w:eastAsia="Times New Roman" w:cstheme="minorHAnsi"/>
          <w:bCs/>
          <w:iCs/>
          <w:lang w:val="es-AR"/>
        </w:rPr>
        <w:t>l</w:t>
      </w:r>
      <w:proofErr w:type="spellEnd"/>
      <w:r w:rsidR="006334A2">
        <w:rPr>
          <w:rFonts w:eastAsia="Times New Roman" w:cstheme="minorHAnsi"/>
          <w:bCs/>
          <w:iCs/>
          <w:lang w:val="es-AR"/>
        </w:rPr>
        <w:t xml:space="preserve"> </w:t>
      </w:r>
      <w:r w:rsidR="006334A2" w:rsidRPr="003F612F">
        <w:rPr>
          <w:rFonts w:eastAsia="Times New Roman" w:cstheme="minorHAnsi"/>
          <w:bCs/>
          <w:iCs/>
          <w:lang w:val="es-AR"/>
        </w:rPr>
        <w:t>Programa para la Asistencia a Personas con Discapacidad en sus Relaciones con la Admin</w:t>
      </w:r>
      <w:r w:rsidR="006334A2">
        <w:rPr>
          <w:rFonts w:eastAsia="Times New Roman" w:cstheme="minorHAnsi"/>
          <w:bCs/>
          <w:iCs/>
          <w:lang w:val="es-AR"/>
        </w:rPr>
        <w:t>istración de Justicia (ADAJUS), dotándolo de mayores recursos humanos y presupuesto</w:t>
      </w:r>
      <w:r>
        <w:rPr>
          <w:rFonts w:eastAsia="Times New Roman" w:cstheme="minorHAnsi"/>
          <w:bCs/>
          <w:iCs/>
          <w:lang w:val="es-AR"/>
        </w:rPr>
        <w:t xml:space="preserve">. </w:t>
      </w:r>
    </w:p>
    <w:p w14:paraId="1212675D" w14:textId="77777777" w:rsidR="006334A2" w:rsidRPr="003F612F" w:rsidRDefault="006334A2" w:rsidP="00762BF9">
      <w:pPr>
        <w:pStyle w:val="Prrafodelista"/>
        <w:numPr>
          <w:ilvl w:val="0"/>
          <w:numId w:val="10"/>
        </w:numPr>
        <w:spacing w:after="240" w:line="276" w:lineRule="auto"/>
        <w:ind w:left="714" w:hanging="357"/>
        <w:contextualSpacing w:val="0"/>
        <w:jc w:val="both"/>
        <w:rPr>
          <w:rFonts w:eastAsia="Times New Roman" w:cstheme="minorHAnsi"/>
          <w:bCs/>
          <w:iCs/>
          <w:lang w:val="es-AR"/>
        </w:rPr>
      </w:pPr>
      <w:r>
        <w:rPr>
          <w:rFonts w:eastAsia="Times New Roman" w:cstheme="minorHAnsi"/>
          <w:bCs/>
          <w:iCs/>
          <w:lang w:val="es-AR"/>
        </w:rPr>
        <w:t>Brindar</w:t>
      </w:r>
      <w:r w:rsidRPr="003F612F">
        <w:rPr>
          <w:rFonts w:eastAsia="Times New Roman" w:cstheme="minorHAnsi"/>
          <w:bCs/>
          <w:iCs/>
          <w:lang w:val="es-AR"/>
        </w:rPr>
        <w:t xml:space="preserve"> capacitaciones al poder judicial </w:t>
      </w:r>
      <w:r>
        <w:rPr>
          <w:rFonts w:eastAsia="Times New Roman" w:cstheme="minorHAnsi"/>
          <w:bCs/>
          <w:iCs/>
          <w:lang w:val="es-AR"/>
        </w:rPr>
        <w:t>en perspectiva de discapacidad.</w:t>
      </w:r>
    </w:p>
    <w:tbl>
      <w:tblPr>
        <w:tblStyle w:val="Tablaconcuadrcula"/>
        <w:tblW w:w="0" w:type="auto"/>
        <w:tblLook w:val="04A0" w:firstRow="1" w:lastRow="0" w:firstColumn="1" w:lastColumn="0" w:noHBand="0" w:noVBand="1"/>
      </w:tblPr>
      <w:tblGrid>
        <w:gridCol w:w="9736"/>
      </w:tblGrid>
      <w:tr w:rsidR="00C66191" w:rsidRPr="003F612F" w14:paraId="20486253" w14:textId="77777777" w:rsidTr="00C66191">
        <w:tc>
          <w:tcPr>
            <w:tcW w:w="9736" w:type="dxa"/>
            <w:shd w:val="clear" w:color="auto" w:fill="D5DCE4" w:themeFill="text2" w:themeFillTint="33"/>
          </w:tcPr>
          <w:p w14:paraId="46ED7FB0" w14:textId="3A785786" w:rsidR="00C66191" w:rsidRPr="0010687A" w:rsidRDefault="00C66191"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18" w:name="_Toc124881443"/>
            <w:r w:rsidRPr="0010687A">
              <w:rPr>
                <w:rFonts w:asciiTheme="minorHAnsi" w:eastAsia="Times New Roman" w:hAnsiTheme="minorHAnsi" w:cstheme="minorHAnsi"/>
                <w:b/>
                <w:bCs/>
                <w:color w:val="auto"/>
                <w:sz w:val="24"/>
                <w:szCs w:val="24"/>
                <w:lang w:val="es-AR"/>
              </w:rPr>
              <w:t>Artículo 14: Libertad y Seguridad de la Persona</w:t>
            </w:r>
            <w:bookmarkEnd w:id="18"/>
          </w:p>
        </w:tc>
      </w:tr>
    </w:tbl>
    <w:p w14:paraId="6283A5F7" w14:textId="1FA8BE0F" w:rsidR="00E413A2" w:rsidRPr="003F612F" w:rsidRDefault="00E413A2" w:rsidP="00762BF9">
      <w:pPr>
        <w:spacing w:before="240"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 xml:space="preserve">La legislación penal y procesal del país no cumple </w:t>
      </w:r>
      <w:r w:rsidR="007A2F95" w:rsidRPr="003F612F">
        <w:rPr>
          <w:rFonts w:eastAsia="Times New Roman" w:cstheme="minorHAnsi"/>
          <w:color w:val="000000"/>
          <w:lang w:val="es-AR" w:eastAsia="en-GB"/>
        </w:rPr>
        <w:t xml:space="preserve">con los estándares referidos </w:t>
      </w:r>
      <w:r w:rsidR="0010687A">
        <w:rPr>
          <w:rFonts w:eastAsia="Times New Roman" w:cstheme="minorHAnsi"/>
          <w:color w:val="000000"/>
          <w:lang w:val="es-AR" w:eastAsia="en-GB"/>
        </w:rPr>
        <w:t>en la Convención</w:t>
      </w:r>
      <w:r w:rsidR="007A2F95" w:rsidRPr="003F612F">
        <w:rPr>
          <w:rStyle w:val="Refdenotaalpie"/>
          <w:rFonts w:eastAsia="Times New Roman" w:cstheme="minorHAnsi"/>
          <w:color w:val="000000"/>
          <w:lang w:val="es-AR" w:eastAsia="en-GB"/>
        </w:rPr>
        <w:footnoteReference w:id="50"/>
      </w:r>
      <w:r w:rsidR="007A2F95" w:rsidRPr="003F612F">
        <w:rPr>
          <w:rFonts w:eastAsia="Times New Roman" w:cstheme="minorHAnsi"/>
          <w:color w:val="000000"/>
          <w:lang w:val="es-AR" w:eastAsia="en-GB"/>
        </w:rPr>
        <w:t xml:space="preserve">. </w:t>
      </w:r>
      <w:r w:rsidRPr="003F612F">
        <w:rPr>
          <w:rFonts w:eastAsia="Times New Roman" w:cstheme="minorHAnsi"/>
          <w:color w:val="000000"/>
          <w:lang w:val="es-AR" w:eastAsia="en-GB"/>
        </w:rPr>
        <w:t>El artículo 34 inc. 1 del Código Penal</w:t>
      </w:r>
      <w:r w:rsidR="00E154EF">
        <w:rPr>
          <w:rFonts w:eastAsia="Times New Roman" w:cstheme="minorHAnsi"/>
          <w:color w:val="000000"/>
          <w:lang w:val="es-AR" w:eastAsia="en-GB"/>
        </w:rPr>
        <w:t xml:space="preserve"> </w:t>
      </w:r>
      <w:r w:rsidRPr="003F612F">
        <w:rPr>
          <w:rFonts w:eastAsia="Times New Roman" w:cstheme="minorHAnsi"/>
          <w:color w:val="000000"/>
          <w:lang w:val="es-AR" w:eastAsia="en-GB"/>
        </w:rPr>
        <w:t>continúa permitiendo la privación de la libertad de las PCD acusadas de un delito sobre la base del criterio de peligrosidad. En ese sentido, el Código Penal habilita el dictado de medidas de seguridad contra las PCD que han sido declaradas inimputables, las cuales se dictan sin un tiempo determinado y sin asegurar las garantías mínimas del debido proceso penal. </w:t>
      </w:r>
    </w:p>
    <w:p w14:paraId="0D7FAC0F" w14:textId="7097F28F" w:rsidR="00E413A2" w:rsidRDefault="00E154EF" w:rsidP="00762BF9">
      <w:pPr>
        <w:spacing w:after="240" w:line="276" w:lineRule="auto"/>
        <w:ind w:firstLine="720"/>
        <w:jc w:val="both"/>
        <w:rPr>
          <w:rFonts w:eastAsia="Times New Roman" w:cstheme="minorHAnsi"/>
          <w:color w:val="000000"/>
          <w:lang w:val="es-AR" w:eastAsia="en-GB"/>
        </w:rPr>
      </w:pPr>
      <w:r>
        <w:rPr>
          <w:rFonts w:eastAsia="Times New Roman" w:cstheme="minorHAnsi"/>
          <w:color w:val="000000"/>
          <w:lang w:val="es-AR" w:eastAsia="en-GB"/>
        </w:rPr>
        <w:t>La</w:t>
      </w:r>
      <w:r w:rsidR="00E413A2" w:rsidRPr="003F612F">
        <w:rPr>
          <w:rFonts w:eastAsia="Times New Roman" w:cstheme="minorHAnsi"/>
          <w:color w:val="000000"/>
          <w:lang w:val="es-AR" w:eastAsia="en-GB"/>
        </w:rPr>
        <w:t xml:space="preserve"> legislación procesal penal prevé otras figuras problemáticas que habilitan la privación de la libertad de PCD justificadas en el criterio de peligrosida</w:t>
      </w:r>
      <w:r>
        <w:rPr>
          <w:rFonts w:eastAsia="Times New Roman" w:cstheme="minorHAnsi"/>
          <w:color w:val="000000"/>
          <w:lang w:val="es-AR" w:eastAsia="en-GB"/>
        </w:rPr>
        <w:t>d</w:t>
      </w:r>
      <w:r w:rsidR="00E413A2" w:rsidRPr="003F612F">
        <w:rPr>
          <w:rStyle w:val="Refdenotaalpie"/>
          <w:rFonts w:eastAsia="Times New Roman" w:cstheme="minorHAnsi"/>
          <w:color w:val="000000"/>
          <w:lang w:val="es-AR" w:eastAsia="en-GB"/>
        </w:rPr>
        <w:footnoteReference w:id="51"/>
      </w:r>
      <w:r>
        <w:rPr>
          <w:rFonts w:eastAsia="Times New Roman" w:cstheme="minorHAnsi"/>
          <w:color w:val="000000"/>
          <w:lang w:val="es-AR" w:eastAsia="en-GB"/>
        </w:rPr>
        <w:t xml:space="preserve">. </w:t>
      </w:r>
      <w:r w:rsidR="00E413A2" w:rsidRPr="003F612F">
        <w:rPr>
          <w:rFonts w:eastAsia="Times New Roman" w:cstheme="minorHAnsi"/>
          <w:color w:val="000000"/>
          <w:lang w:val="es-AR" w:eastAsia="en-GB"/>
        </w:rPr>
        <w:t xml:space="preserve">Además, el Código Procesal </w:t>
      </w:r>
      <w:r>
        <w:rPr>
          <w:rFonts w:eastAsia="Times New Roman" w:cstheme="minorHAnsi"/>
          <w:color w:val="000000"/>
          <w:lang w:val="es-AR" w:eastAsia="en-GB"/>
        </w:rPr>
        <w:t xml:space="preserve">de la Provincia de Buenos Aires </w:t>
      </w:r>
      <w:r w:rsidR="00E413A2" w:rsidRPr="003F612F">
        <w:rPr>
          <w:rFonts w:eastAsia="Times New Roman" w:cstheme="minorHAnsi"/>
          <w:color w:val="000000"/>
          <w:lang w:val="es-AR" w:eastAsia="en-GB"/>
        </w:rPr>
        <w:t>en su art. 63 regula la figura de la incapacidad sobreviniente al proceso y permite su suspensión y la internación fundada en el criterio de peligrosidad. En este caso estamos frente a personas que probablemente no sean declaradas inimputables, pero pueden recibir una respuesta judicial con consecuencias similares</w:t>
      </w:r>
      <w:r w:rsidR="00E413A2" w:rsidRPr="003F612F">
        <w:rPr>
          <w:rStyle w:val="Refdenotaalpie"/>
          <w:rFonts w:eastAsia="Times New Roman" w:cstheme="minorHAnsi"/>
          <w:color w:val="000000"/>
          <w:lang w:val="es-AR" w:eastAsia="en-GB"/>
        </w:rPr>
        <w:footnoteReference w:id="52"/>
      </w:r>
      <w:r w:rsidR="00E413A2" w:rsidRPr="003F612F">
        <w:rPr>
          <w:rFonts w:eastAsia="Times New Roman" w:cstheme="minorHAnsi"/>
          <w:color w:val="000000"/>
          <w:lang w:val="es-AR" w:eastAsia="en-GB"/>
        </w:rPr>
        <w:t>. En virtud de estos institutos, en las unidades penitenciarias que alojan PCD intelectual o psicosocial no solo hay personas declaradas inimputables a las que se les aplica una medida de seguridad sino también personas con otras figuras o situaciones procesales fundadas en el criterio de peligrosidad.</w:t>
      </w:r>
    </w:p>
    <w:p w14:paraId="75F8864D" w14:textId="34772AB1" w:rsidR="00E413A2" w:rsidRPr="003F612F" w:rsidRDefault="003C759C"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sugeridas al Estado:</w:t>
      </w:r>
    </w:p>
    <w:p w14:paraId="4B089102" w14:textId="6CBE8443" w:rsidR="00AD4979" w:rsidRDefault="00CA3C37" w:rsidP="00762BF9">
      <w:pPr>
        <w:pStyle w:val="Prrafodelista"/>
        <w:numPr>
          <w:ilvl w:val="0"/>
          <w:numId w:val="21"/>
        </w:numPr>
        <w:spacing w:after="240" w:line="276" w:lineRule="auto"/>
        <w:contextualSpacing w:val="0"/>
        <w:jc w:val="both"/>
        <w:rPr>
          <w:rFonts w:eastAsia="Times New Roman" w:cstheme="minorHAnsi"/>
          <w:bCs/>
          <w:iCs/>
          <w:lang w:val="es-AR"/>
        </w:rPr>
      </w:pPr>
      <w:bookmarkStart w:id="19" w:name="_GoBack"/>
      <w:r>
        <w:rPr>
          <w:rFonts w:eastAsia="Times New Roman" w:cstheme="minorHAnsi"/>
          <w:bCs/>
          <w:iCs/>
          <w:lang w:val="es-AR"/>
        </w:rPr>
        <w:t>Modificar el Art. 34 del Código Penal</w:t>
      </w:r>
      <w:r w:rsidR="00AD4979">
        <w:rPr>
          <w:rFonts w:eastAsia="Times New Roman" w:cstheme="minorHAnsi"/>
          <w:bCs/>
          <w:iCs/>
          <w:lang w:val="es-AR"/>
        </w:rPr>
        <w:t xml:space="preserve"> </w:t>
      </w:r>
      <w:r w:rsidR="001434F3">
        <w:rPr>
          <w:rFonts w:eastAsia="Times New Roman" w:cstheme="minorHAnsi"/>
          <w:bCs/>
          <w:iCs/>
          <w:lang w:val="es-AR"/>
        </w:rPr>
        <w:t>para que no se permita la privación de la libertad por criterios contrarios a</w:t>
      </w:r>
      <w:r w:rsidR="00AD4979">
        <w:rPr>
          <w:rFonts w:eastAsia="Times New Roman" w:cstheme="minorHAnsi"/>
          <w:bCs/>
          <w:iCs/>
          <w:lang w:val="es-AR"/>
        </w:rPr>
        <w:t xml:space="preserve"> la Convención</w:t>
      </w:r>
      <w:r w:rsidR="001434F3">
        <w:rPr>
          <w:rFonts w:eastAsia="Times New Roman" w:cstheme="minorHAnsi"/>
          <w:bCs/>
          <w:iCs/>
          <w:lang w:val="es-AR"/>
        </w:rPr>
        <w:t xml:space="preserve">. </w:t>
      </w:r>
    </w:p>
    <w:bookmarkEnd w:id="19"/>
    <w:p w14:paraId="196F45C2" w14:textId="77777777" w:rsidR="009C3B68" w:rsidRPr="003F612F" w:rsidRDefault="009C3B68" w:rsidP="00762BF9">
      <w:pPr>
        <w:pStyle w:val="Prrafodelista"/>
        <w:numPr>
          <w:ilvl w:val="0"/>
          <w:numId w:val="21"/>
        </w:numPr>
        <w:spacing w:after="240" w:line="276" w:lineRule="auto"/>
        <w:contextualSpacing w:val="0"/>
        <w:jc w:val="both"/>
        <w:rPr>
          <w:rFonts w:eastAsia="Times New Roman" w:cstheme="minorHAnsi"/>
          <w:bCs/>
          <w:iCs/>
          <w:lang w:val="es-AR"/>
        </w:rPr>
      </w:pPr>
      <w:r>
        <w:rPr>
          <w:rFonts w:eastAsia="Times New Roman" w:cstheme="minorHAnsi"/>
          <w:bCs/>
          <w:iCs/>
          <w:lang w:val="es-AR"/>
        </w:rPr>
        <w:t xml:space="preserve">Realizar un relevamiento sobre </w:t>
      </w:r>
      <w:r w:rsidRPr="003F612F">
        <w:rPr>
          <w:rFonts w:eastAsia="Times New Roman" w:cstheme="minorHAnsi"/>
          <w:bCs/>
          <w:iCs/>
          <w:lang w:val="es-AR"/>
        </w:rPr>
        <w:t xml:space="preserve">la cantidad de PCD que se encuentran detenidas en todas las cárceles del país y que tipo de </w:t>
      </w:r>
      <w:r>
        <w:rPr>
          <w:rFonts w:eastAsia="Times New Roman" w:cstheme="minorHAnsi"/>
          <w:bCs/>
          <w:iCs/>
          <w:lang w:val="es-AR"/>
        </w:rPr>
        <w:t>necesidades</w:t>
      </w:r>
      <w:r w:rsidRPr="003F612F">
        <w:rPr>
          <w:rFonts w:eastAsia="Times New Roman" w:cstheme="minorHAnsi"/>
          <w:bCs/>
          <w:iCs/>
          <w:lang w:val="es-AR"/>
        </w:rPr>
        <w:t xml:space="preserve"> según su </w:t>
      </w:r>
      <w:r>
        <w:rPr>
          <w:rFonts w:eastAsia="Times New Roman" w:cstheme="minorHAnsi"/>
          <w:bCs/>
          <w:iCs/>
          <w:lang w:val="es-AR"/>
        </w:rPr>
        <w:t>discapacidad</w:t>
      </w:r>
      <w:r w:rsidRPr="003F612F">
        <w:rPr>
          <w:rFonts w:eastAsia="Times New Roman" w:cstheme="minorHAnsi"/>
          <w:bCs/>
          <w:iCs/>
          <w:lang w:val="es-AR"/>
        </w:rPr>
        <w:t xml:space="preserve"> requieren</w:t>
      </w:r>
      <w:r>
        <w:rPr>
          <w:rFonts w:eastAsia="Times New Roman" w:cstheme="minorHAnsi"/>
          <w:bCs/>
          <w:iCs/>
          <w:lang w:val="es-AR"/>
        </w:rPr>
        <w:t>.</w:t>
      </w:r>
    </w:p>
    <w:p w14:paraId="5CD3EC15" w14:textId="77777777" w:rsidR="009C3B68" w:rsidRPr="00F00C79" w:rsidRDefault="009C3B68" w:rsidP="00762BF9">
      <w:pPr>
        <w:pStyle w:val="Prrafodelista"/>
        <w:numPr>
          <w:ilvl w:val="0"/>
          <w:numId w:val="21"/>
        </w:numPr>
        <w:spacing w:after="240" w:line="276" w:lineRule="auto"/>
        <w:contextualSpacing w:val="0"/>
        <w:jc w:val="both"/>
        <w:rPr>
          <w:rFonts w:eastAsia="Times New Roman" w:cstheme="minorHAnsi"/>
          <w:bCs/>
          <w:i/>
          <w:u w:val="single"/>
          <w:lang w:val="es-AR"/>
        </w:rPr>
      </w:pPr>
      <w:r>
        <w:rPr>
          <w:rFonts w:eastAsia="Times New Roman" w:cstheme="minorHAnsi"/>
          <w:bCs/>
          <w:iCs/>
          <w:lang w:val="es-AR"/>
        </w:rPr>
        <w:t xml:space="preserve">Implementar controles </w:t>
      </w:r>
      <w:r w:rsidRPr="003F612F">
        <w:rPr>
          <w:rFonts w:eastAsia="Times New Roman" w:cstheme="minorHAnsi"/>
          <w:bCs/>
          <w:iCs/>
          <w:lang w:val="es-AR"/>
        </w:rPr>
        <w:t>para garantizar que las internaciones en el Plan de Progresividad cuenten con todas las salvaguardias adecuadas a las necesidades de las personas.</w:t>
      </w:r>
    </w:p>
    <w:tbl>
      <w:tblPr>
        <w:tblStyle w:val="Tablaconcuadrcula"/>
        <w:tblW w:w="0" w:type="auto"/>
        <w:tblLook w:val="04A0" w:firstRow="1" w:lastRow="0" w:firstColumn="1" w:lastColumn="0" w:noHBand="0" w:noVBand="1"/>
      </w:tblPr>
      <w:tblGrid>
        <w:gridCol w:w="9736"/>
      </w:tblGrid>
      <w:tr w:rsidR="00DC3E4C" w:rsidRPr="003F612F" w14:paraId="412D3921" w14:textId="77777777" w:rsidTr="00DC3E4C">
        <w:tc>
          <w:tcPr>
            <w:tcW w:w="9736" w:type="dxa"/>
            <w:shd w:val="clear" w:color="auto" w:fill="D5DCE4" w:themeFill="text2" w:themeFillTint="33"/>
          </w:tcPr>
          <w:p w14:paraId="42408B4F" w14:textId="432514E6" w:rsidR="00DC3E4C" w:rsidRPr="0010687A" w:rsidRDefault="00DC3E4C" w:rsidP="00762BF9">
            <w:pPr>
              <w:pStyle w:val="Ttulo2"/>
              <w:spacing w:line="276" w:lineRule="auto"/>
              <w:jc w:val="center"/>
              <w:outlineLvl w:val="1"/>
              <w:rPr>
                <w:rFonts w:asciiTheme="minorHAnsi" w:eastAsia="Times New Roman" w:hAnsiTheme="minorHAnsi" w:cstheme="minorHAnsi"/>
                <w:b/>
                <w:bCs/>
                <w:lang w:val="es-AR"/>
              </w:rPr>
            </w:pPr>
            <w:bookmarkStart w:id="20" w:name="_Toc124881444"/>
            <w:r w:rsidRPr="0010687A">
              <w:rPr>
                <w:rFonts w:asciiTheme="minorHAnsi" w:eastAsia="Times New Roman" w:hAnsiTheme="minorHAnsi" w:cstheme="minorHAnsi"/>
                <w:b/>
                <w:bCs/>
                <w:color w:val="auto"/>
                <w:sz w:val="24"/>
                <w:szCs w:val="24"/>
                <w:lang w:val="es-AR"/>
              </w:rPr>
              <w:lastRenderedPageBreak/>
              <w:t xml:space="preserve">Artículo 15: Protección contra la tortura y otros tratos o penas crueles, </w:t>
            </w:r>
            <w:proofErr w:type="gramStart"/>
            <w:r w:rsidRPr="0010687A">
              <w:rPr>
                <w:rFonts w:asciiTheme="minorHAnsi" w:eastAsia="Times New Roman" w:hAnsiTheme="minorHAnsi" w:cstheme="minorHAnsi"/>
                <w:b/>
                <w:bCs/>
                <w:color w:val="auto"/>
                <w:sz w:val="24"/>
                <w:szCs w:val="24"/>
                <w:lang w:val="es-AR"/>
              </w:rPr>
              <w:t>inhumanos</w:t>
            </w:r>
            <w:proofErr w:type="gramEnd"/>
            <w:r w:rsidRPr="0010687A">
              <w:rPr>
                <w:rFonts w:asciiTheme="minorHAnsi" w:eastAsia="Times New Roman" w:hAnsiTheme="minorHAnsi" w:cstheme="minorHAnsi"/>
                <w:b/>
                <w:bCs/>
                <w:color w:val="auto"/>
                <w:sz w:val="24"/>
                <w:szCs w:val="24"/>
                <w:lang w:val="es-AR"/>
              </w:rPr>
              <w:t xml:space="preserve"> o degradantes</w:t>
            </w:r>
            <w:bookmarkEnd w:id="20"/>
          </w:p>
        </w:tc>
      </w:tr>
    </w:tbl>
    <w:p w14:paraId="617B8818" w14:textId="617F960E" w:rsidR="00E413A2" w:rsidRPr="003F612F" w:rsidRDefault="00DA3A88" w:rsidP="00762BF9">
      <w:pPr>
        <w:pStyle w:val="NormalWeb"/>
        <w:spacing w:before="24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 xml:space="preserve">En </w:t>
      </w:r>
      <w:r w:rsidR="00E413A2" w:rsidRPr="003F612F">
        <w:rPr>
          <w:rFonts w:asciiTheme="minorHAnsi" w:hAnsiTheme="minorHAnsi" w:cstheme="minorHAnsi"/>
          <w:color w:val="000000"/>
          <w:sz w:val="22"/>
          <w:szCs w:val="22"/>
          <w:lang w:val="es-AR"/>
        </w:rPr>
        <w:t>algunas jurisdicciones contin</w:t>
      </w:r>
      <w:r w:rsidR="002901FE" w:rsidRPr="003F612F">
        <w:rPr>
          <w:rFonts w:asciiTheme="minorHAnsi" w:hAnsiTheme="minorHAnsi" w:cstheme="minorHAnsi"/>
          <w:color w:val="000000"/>
          <w:sz w:val="22"/>
          <w:szCs w:val="22"/>
          <w:lang w:val="es-AR"/>
        </w:rPr>
        <w:t>úan</w:t>
      </w:r>
      <w:r w:rsidR="00E413A2" w:rsidRPr="003F612F">
        <w:rPr>
          <w:rFonts w:asciiTheme="minorHAnsi" w:hAnsiTheme="minorHAnsi" w:cstheme="minorHAnsi"/>
          <w:color w:val="000000"/>
          <w:sz w:val="22"/>
          <w:szCs w:val="22"/>
          <w:lang w:val="es-AR"/>
        </w:rPr>
        <w:t xml:space="preserve"> actuando las fuerzas de seguridad</w:t>
      </w:r>
      <w:r w:rsidR="00D42377" w:rsidRPr="003F612F">
        <w:rPr>
          <w:rFonts w:asciiTheme="minorHAnsi" w:eastAsiaTheme="minorHAnsi" w:hAnsiTheme="minorHAnsi" w:cstheme="minorHAnsi"/>
          <w:color w:val="000000"/>
          <w:sz w:val="22"/>
          <w:szCs w:val="22"/>
          <w:lang w:val="es-AR" w:eastAsia="en-US"/>
        </w:rPr>
        <w:t xml:space="preserve"> </w:t>
      </w:r>
      <w:r w:rsidR="00D42377" w:rsidRPr="003F612F">
        <w:rPr>
          <w:rFonts w:asciiTheme="minorHAnsi" w:hAnsiTheme="minorHAnsi" w:cstheme="minorHAnsi"/>
          <w:color w:val="000000"/>
          <w:sz w:val="22"/>
          <w:szCs w:val="22"/>
          <w:lang w:val="es-AR"/>
        </w:rPr>
        <w:t xml:space="preserve">ante situaciones de crisis o urgencias en salud mental, </w:t>
      </w:r>
      <w:r w:rsidR="00E413A2" w:rsidRPr="003F612F">
        <w:rPr>
          <w:rFonts w:asciiTheme="minorHAnsi" w:hAnsiTheme="minorHAnsi" w:cstheme="minorHAnsi"/>
          <w:color w:val="000000"/>
          <w:sz w:val="22"/>
          <w:szCs w:val="22"/>
          <w:lang w:val="es-AR"/>
        </w:rPr>
        <w:t>con des</w:t>
      </w:r>
      <w:r w:rsidRPr="003F612F">
        <w:rPr>
          <w:rFonts w:asciiTheme="minorHAnsi" w:hAnsiTheme="minorHAnsi" w:cstheme="minorHAnsi"/>
          <w:color w:val="000000"/>
          <w:sz w:val="22"/>
          <w:szCs w:val="22"/>
          <w:lang w:val="es-AR"/>
        </w:rPr>
        <w:t>enlaces fatales en algunos casos</w:t>
      </w:r>
      <w:r w:rsidR="00FD6533" w:rsidRPr="003F612F">
        <w:rPr>
          <w:rStyle w:val="Refdenotaalpie"/>
          <w:rFonts w:asciiTheme="minorHAnsi" w:hAnsiTheme="minorHAnsi" w:cstheme="minorHAnsi"/>
          <w:color w:val="000000"/>
          <w:sz w:val="22"/>
          <w:szCs w:val="22"/>
          <w:lang w:val="es-AR"/>
        </w:rPr>
        <w:footnoteReference w:id="53"/>
      </w:r>
      <w:r w:rsidR="00FD6533" w:rsidRPr="003F612F">
        <w:rPr>
          <w:rFonts w:asciiTheme="minorHAnsi" w:hAnsiTheme="minorHAnsi" w:cstheme="minorHAnsi"/>
          <w:color w:val="000000"/>
          <w:sz w:val="22"/>
          <w:szCs w:val="22"/>
          <w:lang w:val="es-AR"/>
        </w:rPr>
        <w:t>. </w:t>
      </w:r>
      <w:r w:rsidR="00E154EF">
        <w:rPr>
          <w:rFonts w:asciiTheme="minorHAnsi" w:hAnsiTheme="minorHAnsi" w:cstheme="minorHAnsi"/>
          <w:color w:val="000000"/>
          <w:sz w:val="22"/>
          <w:szCs w:val="22"/>
          <w:lang w:val="es-AR"/>
        </w:rPr>
        <w:t>Un ca</w:t>
      </w:r>
      <w:r w:rsidR="00FD6533" w:rsidRPr="003F612F">
        <w:rPr>
          <w:rFonts w:asciiTheme="minorHAnsi" w:hAnsiTheme="minorHAnsi" w:cstheme="minorHAnsi"/>
          <w:color w:val="000000"/>
          <w:sz w:val="22"/>
          <w:szCs w:val="22"/>
          <w:lang w:val="es-AR"/>
        </w:rPr>
        <w:t xml:space="preserve">so reciente es el de Ezequiel Castro en Córdoba, un joven de 21 años detenido y trasladado a un centro </w:t>
      </w:r>
      <w:proofErr w:type="spellStart"/>
      <w:r w:rsidR="00FD6533" w:rsidRPr="003F612F">
        <w:rPr>
          <w:rFonts w:asciiTheme="minorHAnsi" w:hAnsiTheme="minorHAnsi" w:cstheme="minorHAnsi"/>
          <w:color w:val="000000"/>
          <w:sz w:val="22"/>
          <w:szCs w:val="22"/>
          <w:lang w:val="es-AR"/>
        </w:rPr>
        <w:t>psicoasistencial</w:t>
      </w:r>
      <w:proofErr w:type="spellEnd"/>
      <w:r w:rsidR="00FD6533" w:rsidRPr="003F612F">
        <w:rPr>
          <w:rFonts w:asciiTheme="minorHAnsi" w:hAnsiTheme="minorHAnsi" w:cstheme="minorHAnsi"/>
          <w:color w:val="000000"/>
          <w:sz w:val="22"/>
          <w:szCs w:val="22"/>
          <w:lang w:val="es-AR"/>
        </w:rPr>
        <w:t xml:space="preserve"> y que finalmente falleció en el Hospital Misericordia</w:t>
      </w:r>
      <w:r w:rsidR="00FD6533" w:rsidRPr="003F612F">
        <w:rPr>
          <w:rStyle w:val="Refdenotaalpie"/>
          <w:rFonts w:asciiTheme="minorHAnsi" w:hAnsiTheme="minorHAnsi" w:cstheme="minorHAnsi"/>
          <w:color w:val="000000"/>
          <w:sz w:val="22"/>
          <w:szCs w:val="22"/>
          <w:lang w:val="es-AR"/>
        </w:rPr>
        <w:footnoteReference w:id="54"/>
      </w:r>
      <w:r w:rsidR="00FD6533" w:rsidRPr="003F612F">
        <w:rPr>
          <w:rFonts w:asciiTheme="minorHAnsi" w:hAnsiTheme="minorHAnsi" w:cstheme="minorHAnsi"/>
          <w:color w:val="000000"/>
          <w:sz w:val="22"/>
          <w:szCs w:val="22"/>
          <w:lang w:val="es-AR"/>
        </w:rPr>
        <w:t>. </w:t>
      </w:r>
      <w:r w:rsidRPr="003F612F">
        <w:rPr>
          <w:rFonts w:asciiTheme="minorHAnsi" w:hAnsiTheme="minorHAnsi" w:cstheme="minorHAnsi"/>
          <w:sz w:val="22"/>
          <w:szCs w:val="22"/>
          <w:lang w:val="es-AR"/>
        </w:rPr>
        <w:t xml:space="preserve"> </w:t>
      </w:r>
      <w:r w:rsidR="00FD6533" w:rsidRPr="003F612F">
        <w:rPr>
          <w:rFonts w:asciiTheme="minorHAnsi" w:hAnsiTheme="minorHAnsi" w:cstheme="minorHAnsi"/>
          <w:color w:val="000000"/>
          <w:sz w:val="22"/>
          <w:szCs w:val="22"/>
          <w:lang w:val="es-AR"/>
        </w:rPr>
        <w:t xml:space="preserve">Se advierte </w:t>
      </w:r>
      <w:r w:rsidR="00D42377" w:rsidRPr="003F612F">
        <w:rPr>
          <w:rFonts w:asciiTheme="minorHAnsi" w:hAnsiTheme="minorHAnsi" w:cstheme="minorHAnsi"/>
          <w:color w:val="000000"/>
          <w:sz w:val="22"/>
          <w:szCs w:val="22"/>
          <w:lang w:val="es-AR"/>
        </w:rPr>
        <w:t xml:space="preserve">una </w:t>
      </w:r>
      <w:r w:rsidR="00E413A2" w:rsidRPr="003F612F">
        <w:rPr>
          <w:rFonts w:asciiTheme="minorHAnsi" w:hAnsiTheme="minorHAnsi" w:cstheme="minorHAnsi"/>
          <w:color w:val="000000"/>
          <w:sz w:val="22"/>
          <w:szCs w:val="22"/>
          <w:lang w:val="es-AR"/>
        </w:rPr>
        <w:t>falta de aplicación de la Resolución 506/2013 del Ministerio de Seguridad de la Nación</w:t>
      </w:r>
      <w:r w:rsidR="00E413A2" w:rsidRPr="003F612F">
        <w:rPr>
          <w:rStyle w:val="Refdenotaalpie"/>
          <w:rFonts w:asciiTheme="minorHAnsi" w:hAnsiTheme="minorHAnsi" w:cstheme="minorHAnsi"/>
          <w:color w:val="000000"/>
          <w:sz w:val="22"/>
          <w:szCs w:val="22"/>
          <w:lang w:val="es-AR"/>
        </w:rPr>
        <w:footnoteReference w:id="55"/>
      </w:r>
      <w:r w:rsidR="0029297B" w:rsidRPr="003F612F">
        <w:rPr>
          <w:rFonts w:asciiTheme="minorHAnsi" w:hAnsiTheme="minorHAnsi" w:cstheme="minorHAnsi"/>
          <w:color w:val="000000"/>
          <w:sz w:val="22"/>
          <w:szCs w:val="22"/>
          <w:lang w:val="es-AR"/>
        </w:rPr>
        <w:t xml:space="preserve"> sobre</w:t>
      </w:r>
      <w:r w:rsidR="00E413A2" w:rsidRPr="003F612F">
        <w:rPr>
          <w:rFonts w:asciiTheme="minorHAnsi" w:hAnsiTheme="minorHAnsi" w:cstheme="minorHAnsi"/>
          <w:color w:val="000000"/>
          <w:sz w:val="22"/>
          <w:szCs w:val="22"/>
          <w:lang w:val="es-AR"/>
        </w:rPr>
        <w:t xml:space="preserve"> pautas para la intervención de las fuerzas de seguridad en situaciones que involucra</w:t>
      </w:r>
      <w:r w:rsidR="008B5159" w:rsidRPr="003F612F">
        <w:rPr>
          <w:rFonts w:asciiTheme="minorHAnsi" w:hAnsiTheme="minorHAnsi" w:cstheme="minorHAnsi"/>
          <w:color w:val="000000"/>
          <w:sz w:val="22"/>
          <w:szCs w:val="22"/>
          <w:lang w:val="es-AR"/>
        </w:rPr>
        <w:t>n</w:t>
      </w:r>
      <w:r w:rsidR="00E413A2" w:rsidRPr="003F612F">
        <w:rPr>
          <w:rFonts w:asciiTheme="minorHAnsi" w:hAnsiTheme="minorHAnsi" w:cstheme="minorHAnsi"/>
          <w:color w:val="000000"/>
          <w:sz w:val="22"/>
          <w:szCs w:val="22"/>
          <w:lang w:val="es-AR"/>
        </w:rPr>
        <w:t xml:space="preserve"> a personas que atraviesa</w:t>
      </w:r>
      <w:r w:rsidRPr="003F612F">
        <w:rPr>
          <w:rFonts w:asciiTheme="minorHAnsi" w:hAnsiTheme="minorHAnsi" w:cstheme="minorHAnsi"/>
          <w:color w:val="000000"/>
          <w:sz w:val="22"/>
          <w:szCs w:val="22"/>
          <w:lang w:val="es-AR"/>
        </w:rPr>
        <w:t>n problemáticas de salud mental.</w:t>
      </w:r>
    </w:p>
    <w:p w14:paraId="4FDA068E" w14:textId="248BED61" w:rsidR="00E413A2" w:rsidRPr="003F612F" w:rsidRDefault="00E154EF"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Pr>
          <w:rFonts w:asciiTheme="minorHAnsi" w:hAnsiTheme="minorHAnsi" w:cstheme="minorHAnsi"/>
          <w:color w:val="000000"/>
          <w:sz w:val="22"/>
          <w:szCs w:val="22"/>
          <w:lang w:val="es-AR"/>
        </w:rPr>
        <w:t>Aunado a ello, c</w:t>
      </w:r>
      <w:r w:rsidR="00DA3A88" w:rsidRPr="003F612F">
        <w:rPr>
          <w:rFonts w:asciiTheme="minorHAnsi" w:hAnsiTheme="minorHAnsi" w:cstheme="minorHAnsi"/>
          <w:color w:val="000000"/>
          <w:sz w:val="22"/>
          <w:szCs w:val="22"/>
          <w:lang w:val="es-AR"/>
        </w:rPr>
        <w:t>ontinúan</w:t>
      </w:r>
      <w:r w:rsidR="00E413A2" w:rsidRPr="003F612F">
        <w:rPr>
          <w:rFonts w:asciiTheme="minorHAnsi" w:hAnsiTheme="minorHAnsi" w:cstheme="minorHAnsi"/>
          <w:color w:val="000000"/>
          <w:sz w:val="22"/>
          <w:szCs w:val="22"/>
          <w:lang w:val="es-AR"/>
        </w:rPr>
        <w:t xml:space="preserve"> realizándose prácticas médicas sin el consentimiento informado de </w:t>
      </w:r>
      <w:r w:rsidR="00DA3A88" w:rsidRPr="003F612F">
        <w:rPr>
          <w:rFonts w:asciiTheme="minorHAnsi" w:hAnsiTheme="minorHAnsi" w:cstheme="minorHAnsi"/>
          <w:color w:val="000000"/>
          <w:sz w:val="22"/>
          <w:szCs w:val="22"/>
          <w:lang w:val="es-AR"/>
        </w:rPr>
        <w:t>PCD</w:t>
      </w:r>
      <w:r w:rsidR="00864B8D">
        <w:rPr>
          <w:rFonts w:asciiTheme="minorHAnsi" w:hAnsiTheme="minorHAnsi" w:cstheme="minorHAnsi"/>
          <w:color w:val="000000"/>
          <w:sz w:val="22"/>
          <w:szCs w:val="22"/>
          <w:lang w:val="es-AR"/>
        </w:rPr>
        <w:t>.</w:t>
      </w:r>
      <w:r w:rsidR="00DA3A88" w:rsidRPr="003F612F">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 xml:space="preserve">En diciembre </w:t>
      </w:r>
      <w:r w:rsidR="00A5363A" w:rsidRPr="003F612F">
        <w:rPr>
          <w:rFonts w:asciiTheme="minorHAnsi" w:hAnsiTheme="minorHAnsi" w:cstheme="minorHAnsi"/>
          <w:color w:val="000000"/>
          <w:sz w:val="22"/>
          <w:szCs w:val="22"/>
          <w:lang w:val="es-AR"/>
        </w:rPr>
        <w:t>de</w:t>
      </w:r>
      <w:r w:rsidR="00E413A2" w:rsidRPr="003F612F">
        <w:rPr>
          <w:rFonts w:asciiTheme="minorHAnsi" w:hAnsiTheme="minorHAnsi" w:cstheme="minorHAnsi"/>
          <w:color w:val="000000"/>
          <w:sz w:val="22"/>
          <w:szCs w:val="22"/>
          <w:lang w:val="es-AR"/>
        </w:rPr>
        <w:t xml:space="preserve"> 2021, </w:t>
      </w:r>
      <w:r w:rsidR="00DA3A88" w:rsidRPr="003F612F">
        <w:rPr>
          <w:rFonts w:asciiTheme="minorHAnsi" w:hAnsiTheme="minorHAnsi" w:cstheme="minorHAnsi"/>
          <w:color w:val="000000"/>
          <w:sz w:val="22"/>
          <w:szCs w:val="22"/>
          <w:lang w:val="es-AR"/>
        </w:rPr>
        <w:t>se realizaron</w:t>
      </w:r>
      <w:r w:rsidR="00E413A2" w:rsidRPr="003F612F">
        <w:rPr>
          <w:rFonts w:asciiTheme="minorHAnsi" w:hAnsiTheme="minorHAnsi" w:cstheme="minorHAnsi"/>
          <w:color w:val="000000"/>
          <w:sz w:val="22"/>
          <w:szCs w:val="22"/>
          <w:lang w:val="es-AR"/>
        </w:rPr>
        <w:t xml:space="preserve"> neurocirugías funcionales o psicocirugías en el hospital Nacional Alejandro Posadas </w:t>
      </w:r>
      <w:r w:rsidR="00DA3A88" w:rsidRPr="003F612F">
        <w:rPr>
          <w:rFonts w:asciiTheme="minorHAnsi" w:hAnsiTheme="minorHAnsi" w:cstheme="minorHAnsi"/>
          <w:color w:val="000000"/>
          <w:sz w:val="22"/>
          <w:szCs w:val="22"/>
          <w:lang w:val="es-AR"/>
        </w:rPr>
        <w:t>de</w:t>
      </w:r>
      <w:r w:rsidR="00E413A2" w:rsidRPr="003F612F">
        <w:rPr>
          <w:rFonts w:asciiTheme="minorHAnsi" w:hAnsiTheme="minorHAnsi" w:cstheme="minorHAnsi"/>
          <w:color w:val="000000"/>
          <w:sz w:val="22"/>
          <w:szCs w:val="22"/>
          <w:lang w:val="es-AR"/>
        </w:rPr>
        <w:t xml:space="preserve"> </w:t>
      </w:r>
      <w:r w:rsidR="00E77A18">
        <w:rPr>
          <w:rFonts w:asciiTheme="minorHAnsi" w:hAnsiTheme="minorHAnsi" w:cstheme="minorHAnsi"/>
          <w:color w:val="000000"/>
          <w:sz w:val="22"/>
          <w:szCs w:val="22"/>
          <w:lang w:val="es-AR"/>
        </w:rPr>
        <w:t>Provincia de Buenos Aires</w:t>
      </w:r>
      <w:r>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 xml:space="preserve">a </w:t>
      </w:r>
      <w:r w:rsidR="00DA3A88" w:rsidRPr="003F612F">
        <w:rPr>
          <w:rFonts w:asciiTheme="minorHAnsi" w:hAnsiTheme="minorHAnsi" w:cstheme="minorHAnsi"/>
          <w:color w:val="000000"/>
          <w:sz w:val="22"/>
          <w:szCs w:val="22"/>
          <w:lang w:val="es-AR"/>
        </w:rPr>
        <w:t>PCD</w:t>
      </w:r>
      <w:r w:rsidR="00E413A2" w:rsidRPr="003F612F">
        <w:rPr>
          <w:rFonts w:asciiTheme="minorHAnsi" w:hAnsiTheme="minorHAnsi" w:cstheme="minorHAnsi"/>
          <w:color w:val="000000"/>
          <w:sz w:val="22"/>
          <w:szCs w:val="22"/>
          <w:lang w:val="es-AR"/>
        </w:rPr>
        <w:t xml:space="preserve"> diagnosticadas con agresividad refractaria al tratamiento. </w:t>
      </w:r>
      <w:r w:rsidR="00DA3A88" w:rsidRPr="003F612F">
        <w:rPr>
          <w:rFonts w:asciiTheme="minorHAnsi" w:hAnsiTheme="minorHAnsi" w:cstheme="minorHAnsi"/>
          <w:color w:val="000000"/>
          <w:sz w:val="22"/>
          <w:szCs w:val="22"/>
          <w:lang w:val="es-AR"/>
        </w:rPr>
        <w:t>E</w:t>
      </w:r>
      <w:r w:rsidR="00E413A2" w:rsidRPr="003F612F">
        <w:rPr>
          <w:rFonts w:asciiTheme="minorHAnsi" w:hAnsiTheme="minorHAnsi" w:cstheme="minorHAnsi"/>
          <w:color w:val="000000"/>
          <w:sz w:val="22"/>
          <w:szCs w:val="22"/>
          <w:lang w:val="es-AR"/>
        </w:rPr>
        <w:t xml:space="preserve">l Ministerio de Salud de la Nación informó que </w:t>
      </w:r>
      <w:r w:rsidR="00DA3A88" w:rsidRPr="003F612F">
        <w:rPr>
          <w:rFonts w:asciiTheme="minorHAnsi" w:hAnsiTheme="minorHAnsi" w:cstheme="minorHAnsi"/>
          <w:color w:val="000000"/>
          <w:sz w:val="22"/>
          <w:szCs w:val="22"/>
          <w:lang w:val="es-AR"/>
        </w:rPr>
        <w:t>las</w:t>
      </w:r>
      <w:r w:rsidR="00E413A2" w:rsidRPr="003F612F">
        <w:rPr>
          <w:rFonts w:asciiTheme="minorHAnsi" w:hAnsiTheme="minorHAnsi" w:cstheme="minorHAnsi"/>
          <w:color w:val="000000"/>
          <w:sz w:val="22"/>
          <w:szCs w:val="22"/>
          <w:lang w:val="es-AR"/>
        </w:rPr>
        <w:t xml:space="preserve"> prácticas se realizaron a do</w:t>
      </w:r>
      <w:r w:rsidR="00DA3A88" w:rsidRPr="003F612F">
        <w:rPr>
          <w:rFonts w:asciiTheme="minorHAnsi" w:hAnsiTheme="minorHAnsi" w:cstheme="minorHAnsi"/>
          <w:color w:val="000000"/>
          <w:sz w:val="22"/>
          <w:szCs w:val="22"/>
          <w:lang w:val="es-AR"/>
        </w:rPr>
        <w:t>s personas institucionalizadas,</w:t>
      </w:r>
      <w:r w:rsidR="00E413A2" w:rsidRPr="003F612F">
        <w:rPr>
          <w:rFonts w:asciiTheme="minorHAnsi" w:hAnsiTheme="minorHAnsi" w:cstheme="minorHAnsi"/>
          <w:color w:val="000000"/>
          <w:sz w:val="22"/>
          <w:szCs w:val="22"/>
          <w:lang w:val="es-AR"/>
        </w:rPr>
        <w:t xml:space="preserve"> sin su consentimiento informado</w:t>
      </w:r>
      <w:r w:rsidR="00A5363A" w:rsidRPr="003F612F">
        <w:rPr>
          <w:rStyle w:val="Refdenotaalpie"/>
          <w:rFonts w:asciiTheme="minorHAnsi" w:hAnsiTheme="minorHAnsi" w:cstheme="minorHAnsi"/>
          <w:color w:val="000000"/>
          <w:sz w:val="22"/>
          <w:szCs w:val="22"/>
          <w:lang w:val="es-AR"/>
        </w:rPr>
        <w:footnoteReference w:id="56"/>
      </w:r>
      <w:r w:rsidR="00DA3A88" w:rsidRPr="003F612F">
        <w:rPr>
          <w:rFonts w:asciiTheme="minorHAnsi" w:hAnsiTheme="minorHAnsi" w:cstheme="minorHAnsi"/>
          <w:color w:val="000000"/>
          <w:sz w:val="22"/>
          <w:szCs w:val="22"/>
          <w:lang w:val="es-AR"/>
        </w:rPr>
        <w:t xml:space="preserve">, sólo con </w:t>
      </w:r>
      <w:r w:rsidR="00A5363A" w:rsidRPr="003F612F">
        <w:rPr>
          <w:rFonts w:asciiTheme="minorHAnsi" w:hAnsiTheme="minorHAnsi" w:cstheme="minorHAnsi"/>
          <w:color w:val="000000"/>
          <w:sz w:val="22"/>
          <w:szCs w:val="22"/>
          <w:lang w:val="es-AR"/>
        </w:rPr>
        <w:t>el consentimiento de los representantes legales</w:t>
      </w:r>
      <w:r w:rsidR="00E413A2" w:rsidRPr="003F612F">
        <w:rPr>
          <w:rStyle w:val="Refdenotaalpie"/>
          <w:rFonts w:asciiTheme="minorHAnsi" w:hAnsiTheme="minorHAnsi" w:cstheme="minorHAnsi"/>
          <w:color w:val="000000"/>
          <w:sz w:val="22"/>
          <w:szCs w:val="22"/>
          <w:lang w:val="es-AR"/>
        </w:rPr>
        <w:footnoteReference w:id="57"/>
      </w:r>
      <w:r w:rsidR="00A5363A" w:rsidRPr="003F612F">
        <w:rPr>
          <w:rFonts w:asciiTheme="minorHAnsi" w:hAnsiTheme="minorHAnsi" w:cstheme="minorHAnsi"/>
          <w:color w:val="000000"/>
          <w:sz w:val="22"/>
          <w:szCs w:val="22"/>
          <w:lang w:val="es-AR"/>
        </w:rPr>
        <w:t xml:space="preserve">. </w:t>
      </w:r>
      <w:r w:rsidR="00DA3A88" w:rsidRPr="003F612F">
        <w:rPr>
          <w:rFonts w:asciiTheme="minorHAnsi" w:hAnsiTheme="minorHAnsi" w:cstheme="minorHAnsi"/>
          <w:color w:val="000000"/>
          <w:sz w:val="22"/>
          <w:szCs w:val="22"/>
          <w:lang w:val="es-AR"/>
        </w:rPr>
        <w:t xml:space="preserve">La </w:t>
      </w:r>
      <w:r w:rsidR="00E413A2" w:rsidRPr="003F612F">
        <w:rPr>
          <w:rFonts w:asciiTheme="minorHAnsi" w:hAnsiTheme="minorHAnsi" w:cstheme="minorHAnsi"/>
          <w:color w:val="000000"/>
          <w:sz w:val="22"/>
          <w:szCs w:val="22"/>
          <w:lang w:val="es-AR"/>
        </w:rPr>
        <w:t xml:space="preserve">situación </w:t>
      </w:r>
      <w:r w:rsidR="00A66F49" w:rsidRPr="003F612F">
        <w:rPr>
          <w:rFonts w:asciiTheme="minorHAnsi" w:hAnsiTheme="minorHAnsi" w:cstheme="minorHAnsi"/>
          <w:color w:val="000000"/>
          <w:sz w:val="22"/>
          <w:szCs w:val="22"/>
          <w:lang w:val="es-AR"/>
        </w:rPr>
        <w:t xml:space="preserve">derivó en </w:t>
      </w:r>
      <w:r w:rsidR="00E413A2" w:rsidRPr="003F612F">
        <w:rPr>
          <w:rFonts w:asciiTheme="minorHAnsi" w:hAnsiTheme="minorHAnsi" w:cstheme="minorHAnsi"/>
          <w:color w:val="000000"/>
          <w:sz w:val="22"/>
          <w:szCs w:val="22"/>
          <w:lang w:val="es-AR"/>
        </w:rPr>
        <w:t>una Resolución del Órgano de Revisión Nacional de Salud Mental</w:t>
      </w:r>
      <w:r w:rsidR="00E413A2" w:rsidRPr="003F612F">
        <w:rPr>
          <w:rStyle w:val="Refdenotaalpie"/>
          <w:rFonts w:asciiTheme="minorHAnsi" w:hAnsiTheme="minorHAnsi" w:cstheme="minorHAnsi"/>
          <w:color w:val="000000"/>
          <w:sz w:val="22"/>
          <w:szCs w:val="22"/>
          <w:lang w:val="es-AR"/>
        </w:rPr>
        <w:footnoteReference w:id="58"/>
      </w:r>
      <w:r w:rsidR="00E413A2" w:rsidRPr="003F612F">
        <w:rPr>
          <w:rFonts w:asciiTheme="minorHAnsi" w:hAnsiTheme="minorHAnsi" w:cstheme="minorHAnsi"/>
          <w:color w:val="000000"/>
          <w:sz w:val="22"/>
          <w:szCs w:val="22"/>
          <w:lang w:val="es-AR"/>
        </w:rPr>
        <w:t xml:space="preserve">. </w:t>
      </w:r>
    </w:p>
    <w:p w14:paraId="7A3A568A" w14:textId="5E3B6974" w:rsidR="00E413A2" w:rsidRPr="003F612F" w:rsidRDefault="006B5948"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propuestas al Estado:</w:t>
      </w:r>
    </w:p>
    <w:p w14:paraId="72CB0D70" w14:textId="5A10EFC5" w:rsidR="00EE0BDE" w:rsidRPr="00F00C79" w:rsidRDefault="00507705" w:rsidP="00E154EF">
      <w:pPr>
        <w:pStyle w:val="Prrafodelista"/>
        <w:numPr>
          <w:ilvl w:val="0"/>
          <w:numId w:val="39"/>
        </w:numPr>
        <w:spacing w:after="240" w:line="276" w:lineRule="auto"/>
        <w:contextualSpacing w:val="0"/>
        <w:jc w:val="both"/>
        <w:rPr>
          <w:rFonts w:eastAsia="Times New Roman" w:cstheme="minorHAnsi"/>
          <w:bCs/>
          <w:iCs/>
        </w:rPr>
      </w:pPr>
      <w:bookmarkStart w:id="21" w:name="_Hlk124590298"/>
      <w:r>
        <w:rPr>
          <w:rFonts w:eastAsia="Times New Roman" w:cstheme="minorHAnsi"/>
          <w:bCs/>
          <w:iCs/>
        </w:rPr>
        <w:t>Elaborar</w:t>
      </w:r>
      <w:r w:rsidRPr="00507705">
        <w:rPr>
          <w:rFonts w:eastAsia="Times New Roman" w:cstheme="minorHAnsi"/>
          <w:bCs/>
          <w:iCs/>
        </w:rPr>
        <w:t xml:space="preserve"> protocolos de actuación y</w:t>
      </w:r>
      <w:r>
        <w:rPr>
          <w:rFonts w:eastAsia="Times New Roman" w:cstheme="minorHAnsi"/>
          <w:bCs/>
          <w:iCs/>
        </w:rPr>
        <w:t xml:space="preserve"> capacitar</w:t>
      </w:r>
      <w:r w:rsidRPr="00507705">
        <w:rPr>
          <w:rFonts w:eastAsia="Times New Roman" w:cstheme="minorHAnsi"/>
          <w:bCs/>
          <w:iCs/>
        </w:rPr>
        <w:t xml:space="preserve"> a las fuerzas de seguridad en línea con la implementación de la CDPD y la LNSM. </w:t>
      </w:r>
    </w:p>
    <w:p w14:paraId="72CF8290" w14:textId="77777777" w:rsidR="00EE0BDE" w:rsidRPr="003F612F" w:rsidRDefault="00EE0BDE" w:rsidP="00E154EF">
      <w:pPr>
        <w:pStyle w:val="Prrafodelista"/>
        <w:numPr>
          <w:ilvl w:val="0"/>
          <w:numId w:val="39"/>
        </w:numPr>
        <w:spacing w:after="240" w:line="276" w:lineRule="auto"/>
        <w:contextualSpacing w:val="0"/>
        <w:jc w:val="both"/>
        <w:rPr>
          <w:rFonts w:eastAsia="Times New Roman" w:cstheme="minorHAnsi"/>
          <w:bCs/>
          <w:iCs/>
          <w:lang w:val="es-AR"/>
        </w:rPr>
      </w:pPr>
      <w:r>
        <w:rPr>
          <w:rFonts w:eastAsia="Times New Roman" w:cstheme="minorHAnsi"/>
          <w:bCs/>
          <w:iCs/>
          <w:lang w:val="es-AR"/>
        </w:rPr>
        <w:lastRenderedPageBreak/>
        <w:t>Realizar monitoreo constante</w:t>
      </w:r>
      <w:r w:rsidRPr="003F612F">
        <w:rPr>
          <w:rFonts w:eastAsia="Times New Roman" w:cstheme="minorHAnsi"/>
          <w:bCs/>
          <w:iCs/>
          <w:lang w:val="es-AR"/>
        </w:rPr>
        <w:t xml:space="preserve"> de las condiciones de privación de libertad de </w:t>
      </w:r>
      <w:r>
        <w:rPr>
          <w:rFonts w:eastAsia="Times New Roman" w:cstheme="minorHAnsi"/>
          <w:bCs/>
          <w:iCs/>
          <w:lang w:val="es-AR"/>
        </w:rPr>
        <w:t>PCD</w:t>
      </w:r>
      <w:r w:rsidRPr="003F612F">
        <w:rPr>
          <w:rFonts w:eastAsia="Times New Roman" w:cstheme="minorHAnsi"/>
          <w:bCs/>
          <w:iCs/>
          <w:lang w:val="es-AR"/>
        </w:rPr>
        <w:t xml:space="preserve"> </w:t>
      </w:r>
      <w:r>
        <w:rPr>
          <w:rFonts w:eastAsia="Times New Roman" w:cstheme="minorHAnsi"/>
          <w:bCs/>
          <w:iCs/>
          <w:lang w:val="es-AR"/>
        </w:rPr>
        <w:t>en</w:t>
      </w:r>
      <w:r w:rsidRPr="003F612F">
        <w:rPr>
          <w:rFonts w:eastAsia="Times New Roman" w:cstheme="minorHAnsi"/>
          <w:bCs/>
          <w:iCs/>
          <w:lang w:val="es-AR"/>
        </w:rPr>
        <w:t xml:space="preserve"> coordinación </w:t>
      </w:r>
      <w:r>
        <w:rPr>
          <w:rFonts w:eastAsia="Times New Roman" w:cstheme="minorHAnsi"/>
          <w:bCs/>
          <w:iCs/>
          <w:lang w:val="es-AR"/>
        </w:rPr>
        <w:t>con</w:t>
      </w:r>
      <w:r w:rsidRPr="003F612F">
        <w:rPr>
          <w:rFonts w:eastAsia="Times New Roman" w:cstheme="minorHAnsi"/>
          <w:bCs/>
          <w:iCs/>
          <w:lang w:val="es-AR"/>
        </w:rPr>
        <w:t xml:space="preserve"> los órganos de revisión nacional y local creados por la Ley Nacional de Salud Mental (Ley 26657).</w:t>
      </w:r>
    </w:p>
    <w:tbl>
      <w:tblPr>
        <w:tblStyle w:val="Tablaconcuadrcula"/>
        <w:tblW w:w="0" w:type="auto"/>
        <w:tblLook w:val="04A0" w:firstRow="1" w:lastRow="0" w:firstColumn="1" w:lastColumn="0" w:noHBand="0" w:noVBand="1"/>
      </w:tblPr>
      <w:tblGrid>
        <w:gridCol w:w="9736"/>
      </w:tblGrid>
      <w:tr w:rsidR="00A66F49" w:rsidRPr="003F612F" w14:paraId="180F9D7B" w14:textId="77777777" w:rsidTr="00A66F49">
        <w:tc>
          <w:tcPr>
            <w:tcW w:w="9736" w:type="dxa"/>
            <w:shd w:val="clear" w:color="auto" w:fill="D5DCE4" w:themeFill="text2" w:themeFillTint="33"/>
          </w:tcPr>
          <w:p w14:paraId="0E16B44D" w14:textId="343D3056" w:rsidR="00A66F49" w:rsidRPr="00864B8D" w:rsidRDefault="00A66F49" w:rsidP="00E154EF">
            <w:pPr>
              <w:pStyle w:val="Ttulo2"/>
              <w:numPr>
                <w:ilvl w:val="0"/>
                <w:numId w:val="39"/>
              </w:numPr>
              <w:spacing w:line="276" w:lineRule="auto"/>
              <w:jc w:val="center"/>
              <w:outlineLvl w:val="1"/>
              <w:rPr>
                <w:rFonts w:asciiTheme="minorHAnsi" w:eastAsia="Times New Roman" w:hAnsiTheme="minorHAnsi" w:cstheme="minorHAnsi"/>
                <w:b/>
                <w:bCs/>
                <w:color w:val="auto"/>
                <w:sz w:val="24"/>
                <w:szCs w:val="24"/>
                <w:lang w:val="es-AR"/>
              </w:rPr>
            </w:pPr>
            <w:bookmarkStart w:id="22" w:name="_Toc124881445"/>
            <w:bookmarkEnd w:id="21"/>
            <w:r w:rsidRPr="00864B8D">
              <w:rPr>
                <w:rFonts w:asciiTheme="minorHAnsi" w:eastAsia="Times New Roman" w:hAnsiTheme="minorHAnsi" w:cstheme="minorHAnsi"/>
                <w:b/>
                <w:bCs/>
                <w:color w:val="auto"/>
                <w:sz w:val="24"/>
                <w:szCs w:val="24"/>
                <w:lang w:val="es-AR"/>
              </w:rPr>
              <w:t>Artículo 19: Derecho a vivir de forma independiente y a ser incluido en la comunidad</w:t>
            </w:r>
            <w:bookmarkEnd w:id="22"/>
          </w:p>
        </w:tc>
      </w:tr>
    </w:tbl>
    <w:p w14:paraId="43C77F25" w14:textId="77777777" w:rsidR="009279D6" w:rsidRPr="003F612F" w:rsidRDefault="009279D6" w:rsidP="00762BF9">
      <w:pPr>
        <w:pStyle w:val="NormalWeb"/>
        <w:spacing w:before="240" w:beforeAutospacing="0" w:after="200" w:afterAutospacing="0" w:line="276" w:lineRule="auto"/>
        <w:ind w:firstLine="720"/>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La Ley de Salud Mental</w:t>
      </w:r>
      <w:r w:rsidRPr="003F612F">
        <w:rPr>
          <w:rFonts w:asciiTheme="minorHAnsi" w:hAnsiTheme="minorHAnsi" w:cstheme="minorHAnsi"/>
          <w:color w:val="000000"/>
          <w:sz w:val="22"/>
          <w:szCs w:val="22"/>
          <w:lang w:val="es-AR"/>
        </w:rPr>
        <w:t xml:space="preserve"> </w:t>
      </w:r>
      <w:r>
        <w:rPr>
          <w:rFonts w:asciiTheme="minorHAnsi" w:hAnsiTheme="minorHAnsi" w:cstheme="minorHAnsi"/>
          <w:color w:val="000000"/>
          <w:sz w:val="22"/>
          <w:szCs w:val="22"/>
          <w:lang w:val="es-AR"/>
        </w:rPr>
        <w:t xml:space="preserve">de 2010 </w:t>
      </w:r>
      <w:r w:rsidRPr="003F612F">
        <w:rPr>
          <w:rFonts w:asciiTheme="minorHAnsi" w:hAnsiTheme="minorHAnsi" w:cstheme="minorHAnsi"/>
          <w:color w:val="000000"/>
          <w:sz w:val="22"/>
          <w:szCs w:val="22"/>
          <w:lang w:val="es-AR"/>
        </w:rPr>
        <w:t xml:space="preserve">estableció que en el año 2020 finalizaba el plazo establecido para el cierre definitivo de los </w:t>
      </w:r>
      <w:proofErr w:type="spellStart"/>
      <w:r w:rsidRPr="003F612F">
        <w:rPr>
          <w:rFonts w:asciiTheme="minorHAnsi" w:hAnsiTheme="minorHAnsi" w:cstheme="minorHAnsi"/>
          <w:color w:val="000000"/>
          <w:sz w:val="22"/>
          <w:szCs w:val="22"/>
          <w:lang w:val="es-AR"/>
        </w:rPr>
        <w:t>neuropsiquiátricos</w:t>
      </w:r>
      <w:proofErr w:type="spellEnd"/>
      <w:r w:rsidRPr="003F612F">
        <w:rPr>
          <w:rFonts w:asciiTheme="minorHAnsi" w:hAnsiTheme="minorHAnsi" w:cstheme="minorHAnsi"/>
          <w:color w:val="000000"/>
          <w:sz w:val="22"/>
          <w:szCs w:val="22"/>
          <w:lang w:val="es-AR"/>
        </w:rPr>
        <w:t xml:space="preserve"> en Argentina,</w:t>
      </w:r>
      <w:r>
        <w:rPr>
          <w:rFonts w:asciiTheme="minorHAnsi" w:hAnsiTheme="minorHAnsi" w:cstheme="minorHAnsi"/>
          <w:color w:val="000000"/>
          <w:sz w:val="22"/>
          <w:szCs w:val="22"/>
          <w:lang w:val="es-AR"/>
        </w:rPr>
        <w:t xml:space="preserve"> </w:t>
      </w:r>
      <w:r w:rsidRPr="003F612F">
        <w:rPr>
          <w:rFonts w:asciiTheme="minorHAnsi" w:hAnsiTheme="minorHAnsi" w:cstheme="minorHAnsi"/>
          <w:color w:val="000000"/>
          <w:sz w:val="22"/>
          <w:szCs w:val="22"/>
          <w:lang w:val="es-AR"/>
        </w:rPr>
        <w:t>con la obligación de sustituirlos y crear un sistema de atención en comunidad integrado al resto de servicios de salud y respetuoso de los derechos humanos de las PCD psicosocial. Sin embargo, el plazo fue incumplido debido a la falta de desarrollo de las políticas públicas; la vigencia de un modelo que ubica a la institucionalización como medida central en el abordaje de la discapacidad psicosocial; y a la falta de recursos económicos asignados desde el Estado para la creación y mantenimiento de dispositivos alternativos a la internación en hospitales monovalentes.</w:t>
      </w:r>
    </w:p>
    <w:p w14:paraId="1FECCC53" w14:textId="524C8A34" w:rsidR="00631777" w:rsidRPr="003F612F" w:rsidRDefault="00631777" w:rsidP="00762BF9">
      <w:pPr>
        <w:shd w:val="clear" w:color="auto" w:fill="FFFFFF"/>
        <w:spacing w:before="240" w:after="240" w:line="276" w:lineRule="auto"/>
        <w:ind w:firstLine="720"/>
        <w:jc w:val="both"/>
        <w:rPr>
          <w:rFonts w:eastAsia="Times New Roman" w:cstheme="minorHAnsi"/>
          <w:b/>
          <w:bCs/>
          <w:color w:val="000000"/>
          <w:lang w:val="es-AR" w:eastAsia="en-GB"/>
        </w:rPr>
      </w:pPr>
      <w:r w:rsidRPr="003F612F">
        <w:rPr>
          <w:rFonts w:eastAsia="Times New Roman" w:cstheme="minorHAnsi"/>
          <w:color w:val="000000"/>
          <w:lang w:val="es-AR" w:eastAsia="en-GB"/>
        </w:rPr>
        <w:t xml:space="preserve">No hay avances sustantivos en la materia y miles de PCD continúan viviendo en instituciones o aisladas en sus hogares. </w:t>
      </w:r>
      <w:r w:rsidR="00A7690B">
        <w:rPr>
          <w:rFonts w:eastAsia="Times New Roman" w:cstheme="minorHAnsi"/>
          <w:color w:val="000000"/>
          <w:lang w:val="es-AR" w:eastAsia="en-GB"/>
        </w:rPr>
        <w:t>Con respecto a las PCD psicosocial, n</w:t>
      </w:r>
      <w:r w:rsidRPr="003F612F">
        <w:rPr>
          <w:rFonts w:eastAsia="Times New Roman" w:cstheme="minorHAnsi"/>
          <w:color w:val="000000"/>
          <w:lang w:val="es-AR" w:eastAsia="en-GB"/>
        </w:rPr>
        <w:t xml:space="preserve">o se implementaron políticas públicas para sustituir el modelo </w:t>
      </w:r>
      <w:proofErr w:type="spellStart"/>
      <w:r w:rsidRPr="003F612F">
        <w:rPr>
          <w:rFonts w:eastAsia="Times New Roman" w:cstheme="minorHAnsi"/>
          <w:color w:val="000000"/>
          <w:lang w:val="es-AR" w:eastAsia="en-GB"/>
        </w:rPr>
        <w:t>manicomial</w:t>
      </w:r>
      <w:proofErr w:type="spellEnd"/>
      <w:r w:rsidRPr="003F612F">
        <w:rPr>
          <w:rFonts w:eastAsia="Times New Roman" w:cstheme="minorHAnsi"/>
          <w:color w:val="000000"/>
          <w:lang w:val="es-AR" w:eastAsia="en-GB"/>
        </w:rPr>
        <w:t xml:space="preserve"> por un sistema de atención comunitaria que garantice la vida autónoma y la inclusión social. </w:t>
      </w:r>
    </w:p>
    <w:p w14:paraId="4F027FEF" w14:textId="15064D93" w:rsidR="00E413A2" w:rsidRPr="003F612F" w:rsidRDefault="00E413A2" w:rsidP="00762BF9">
      <w:pPr>
        <w:shd w:val="clear" w:color="auto" w:fill="FFFFFF"/>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Según los datos del último Censo Nacional de Personas Internadas por Motivos de Salud Mental de 2019</w:t>
      </w:r>
      <w:r w:rsidRPr="003F612F">
        <w:rPr>
          <w:rStyle w:val="Refdenotaalpie"/>
          <w:rFonts w:eastAsia="Times New Roman" w:cstheme="minorHAnsi"/>
          <w:color w:val="000000"/>
          <w:lang w:val="es-AR" w:eastAsia="en-GB"/>
        </w:rPr>
        <w:footnoteReference w:id="59"/>
      </w:r>
      <w:r w:rsidRPr="003F612F">
        <w:rPr>
          <w:rFonts w:eastAsia="Times New Roman" w:cstheme="minorHAnsi"/>
          <w:color w:val="000000"/>
          <w:lang w:val="es-AR" w:eastAsia="en-GB"/>
        </w:rPr>
        <w:t xml:space="preserve">, 12.035 personas </w:t>
      </w:r>
      <w:r w:rsidR="00F24E48">
        <w:rPr>
          <w:rFonts w:eastAsia="Times New Roman" w:cstheme="minorHAnsi"/>
          <w:color w:val="000000"/>
          <w:lang w:val="es-AR" w:eastAsia="en-GB"/>
        </w:rPr>
        <w:t xml:space="preserve">se encontraban </w:t>
      </w:r>
      <w:r w:rsidRPr="003F612F">
        <w:rPr>
          <w:rFonts w:eastAsia="Times New Roman" w:cstheme="minorHAnsi"/>
          <w:color w:val="000000"/>
          <w:lang w:val="es-AR" w:eastAsia="en-GB"/>
        </w:rPr>
        <w:t xml:space="preserve">internadas en 162 hospitales psiquiátricos. </w:t>
      </w:r>
      <w:r w:rsidR="00F24E48">
        <w:rPr>
          <w:rFonts w:eastAsia="Times New Roman" w:cstheme="minorHAnsi"/>
          <w:color w:val="000000"/>
          <w:lang w:val="es-AR" w:eastAsia="en-GB"/>
        </w:rPr>
        <w:t>Deben</w:t>
      </w:r>
      <w:r w:rsidRPr="003F612F">
        <w:rPr>
          <w:rFonts w:eastAsia="Times New Roman" w:cstheme="minorHAnsi"/>
          <w:color w:val="000000"/>
          <w:lang w:val="es-AR" w:eastAsia="en-GB"/>
        </w:rPr>
        <w:t xml:space="preserve"> sumarse las que residen en instituciones con internación exclusiva en adicciones, que no fueron alcanzadas por el relevamiento. </w:t>
      </w:r>
      <w:r w:rsidRPr="003F612F">
        <w:rPr>
          <w:rFonts w:eastAsia="Times New Roman" w:cstheme="minorHAnsi"/>
          <w:b/>
          <w:bCs/>
          <w:color w:val="000000"/>
          <w:lang w:val="es-AR" w:eastAsia="en-GB"/>
        </w:rPr>
        <w:t>El tiempo promedio de permanencia en las instituciones relevadas es de 8,2 años, cifra que aumenta a 12,5 en el sector público</w:t>
      </w:r>
      <w:r w:rsidR="00E232A5">
        <w:rPr>
          <w:rStyle w:val="Refdenotaalpie"/>
          <w:rFonts w:eastAsia="Times New Roman" w:cstheme="minorHAnsi"/>
          <w:b/>
          <w:bCs/>
          <w:color w:val="000000"/>
          <w:lang w:val="es-AR" w:eastAsia="en-GB"/>
        </w:rPr>
        <w:footnoteReference w:id="60"/>
      </w:r>
      <w:r w:rsidRPr="003F612F">
        <w:rPr>
          <w:rFonts w:eastAsia="Times New Roman" w:cstheme="minorHAnsi"/>
          <w:color w:val="000000"/>
          <w:lang w:val="es-AR" w:eastAsia="en-GB"/>
        </w:rPr>
        <w:t>. Del total de personas, 1 de cada 4 lleva entre 11 y 90 años internada. El 60,4% no firmó consentimiento para estar en un hospital psiquiátrico y el 63,6% ni siquiera cuenta con el criterio de internación establecido por la Ley Nacional de Salud Mental</w:t>
      </w:r>
      <w:r w:rsidR="00672E92" w:rsidRPr="003F612F">
        <w:rPr>
          <w:rFonts w:eastAsia="Times New Roman" w:cstheme="minorHAnsi"/>
          <w:color w:val="000000"/>
          <w:lang w:val="es-AR" w:eastAsia="en-GB"/>
        </w:rPr>
        <w:t xml:space="preserve">, </w:t>
      </w:r>
      <w:r w:rsidRPr="003F612F">
        <w:rPr>
          <w:rFonts w:eastAsia="Times New Roman" w:cstheme="minorHAnsi"/>
          <w:color w:val="000000"/>
          <w:lang w:val="es-AR" w:eastAsia="en-GB"/>
        </w:rPr>
        <w:t xml:space="preserve">configurando detenciones ilegales. </w:t>
      </w:r>
      <w:r w:rsidR="00672E92" w:rsidRPr="003F612F">
        <w:rPr>
          <w:rFonts w:eastAsia="Times New Roman" w:cstheme="minorHAnsi"/>
          <w:color w:val="000000"/>
          <w:lang w:val="es-AR" w:eastAsia="en-GB"/>
        </w:rPr>
        <w:t>Solo</w:t>
      </w:r>
      <w:r w:rsidRPr="003F612F">
        <w:rPr>
          <w:rFonts w:eastAsia="Times New Roman" w:cstheme="minorHAnsi"/>
          <w:color w:val="000000"/>
          <w:lang w:val="es-AR" w:eastAsia="en-GB"/>
        </w:rPr>
        <w:t xml:space="preserve"> el 12,4% de las personas internadas está en posesión de su DNI y solo el 41,6% puede realizar llamadas telefónicas, e incluso algunas de ellas deben pagar para hacerlo. Del total de personas internadas, 266 son niños, niñas y adolescentes. </w:t>
      </w:r>
    </w:p>
    <w:p w14:paraId="552DB6EC" w14:textId="13489864" w:rsidR="00E413A2" w:rsidRPr="003F612F" w:rsidRDefault="00E413A2" w:rsidP="00762BF9">
      <w:pPr>
        <w:shd w:val="clear" w:color="auto" w:fill="FFFFFF"/>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Esta situación también fue corroborada por el Poder Judicial en el marco de la causa “S.A.F y otros c. Estado Nacional y otros”</w:t>
      </w:r>
      <w:r w:rsidRPr="003F612F">
        <w:rPr>
          <w:rStyle w:val="Refdenotaalpie"/>
          <w:rFonts w:eastAsia="Times New Roman" w:cstheme="minorHAnsi"/>
          <w:color w:val="000000"/>
          <w:lang w:val="es-AR" w:eastAsia="en-GB"/>
        </w:rPr>
        <w:footnoteReference w:id="61"/>
      </w:r>
      <w:r w:rsidRPr="003F612F">
        <w:rPr>
          <w:rFonts w:eastAsia="Times New Roman" w:cstheme="minorHAnsi"/>
          <w:color w:val="000000"/>
          <w:lang w:val="es-AR" w:eastAsia="en-GB"/>
        </w:rPr>
        <w:t>, en donde se ordenó en el año 2015 al Estado Nacional y al Gobierno de la Ciudad de Buenos Aires proveer dispositivos comunitarios para todas aquellas personas internadas en hospitales psiquiátricos que estuvieran en condiciones de alta médica. Sin embargo, a casi 7 años del dictado de la decisión judicial no se implementaron acciones para cumplirla</w:t>
      </w:r>
      <w:r w:rsidR="00961889" w:rsidRPr="003F612F">
        <w:rPr>
          <w:rFonts w:eastAsia="Times New Roman" w:cstheme="minorHAnsi"/>
          <w:color w:val="000000"/>
          <w:lang w:val="es-AR" w:eastAsia="en-GB"/>
        </w:rPr>
        <w:t xml:space="preserve"> y el caso </w:t>
      </w:r>
      <w:r w:rsidR="00F24E48">
        <w:rPr>
          <w:rFonts w:eastAsia="Times New Roman" w:cstheme="minorHAnsi"/>
          <w:color w:val="000000"/>
          <w:lang w:val="es-AR" w:eastAsia="en-GB"/>
        </w:rPr>
        <w:t xml:space="preserve">fue presentado ante </w:t>
      </w:r>
      <w:r w:rsidR="00961889" w:rsidRPr="003F612F">
        <w:rPr>
          <w:rFonts w:eastAsia="Times New Roman" w:cstheme="minorHAnsi"/>
          <w:color w:val="000000"/>
          <w:lang w:val="es-AR" w:eastAsia="en-GB"/>
        </w:rPr>
        <w:t>la Comisión Interamericana de Derechos Humanos (CIDH)</w:t>
      </w:r>
      <w:r w:rsidR="00E232A5">
        <w:rPr>
          <w:rStyle w:val="Refdenotaalpie"/>
          <w:rFonts w:eastAsia="Times New Roman" w:cstheme="minorHAnsi"/>
          <w:color w:val="000000"/>
          <w:lang w:val="es-AR" w:eastAsia="en-GB"/>
        </w:rPr>
        <w:footnoteReference w:id="62"/>
      </w:r>
      <w:r w:rsidRPr="003F612F">
        <w:rPr>
          <w:rFonts w:eastAsia="Times New Roman" w:cstheme="minorHAnsi"/>
          <w:color w:val="000000"/>
          <w:lang w:val="es-AR" w:eastAsia="en-GB"/>
        </w:rPr>
        <w:t>.</w:t>
      </w:r>
      <w:r w:rsidR="003557ED" w:rsidRPr="003F612F">
        <w:rPr>
          <w:rFonts w:eastAsia="Times New Roman" w:cstheme="minorHAnsi"/>
          <w:color w:val="000000"/>
          <w:lang w:val="es-AR" w:eastAsia="en-GB"/>
        </w:rPr>
        <w:t xml:space="preserve"> </w:t>
      </w:r>
    </w:p>
    <w:p w14:paraId="76938F9A" w14:textId="1DB43D39" w:rsidR="00816B85" w:rsidRPr="003F612F" w:rsidRDefault="00816B85" w:rsidP="00762BF9">
      <w:pPr>
        <w:shd w:val="clear" w:color="auto" w:fill="FFFFFF"/>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 xml:space="preserve">Lo expuesto se </w:t>
      </w:r>
      <w:r w:rsidR="001513A6">
        <w:rPr>
          <w:rFonts w:eastAsia="Times New Roman" w:cstheme="minorHAnsi"/>
          <w:color w:val="000000"/>
          <w:lang w:val="es-AR" w:eastAsia="en-GB"/>
        </w:rPr>
        <w:t>ve reflejado en</w:t>
      </w:r>
      <w:r w:rsidRPr="003F612F">
        <w:rPr>
          <w:rFonts w:eastAsia="Times New Roman" w:cstheme="minorHAnsi"/>
          <w:color w:val="000000"/>
          <w:lang w:val="es-AR" w:eastAsia="en-GB"/>
        </w:rPr>
        <w:t xml:space="preserve"> el presupuesto asignado a la ANDIS</w:t>
      </w:r>
      <w:r w:rsidR="001513A6">
        <w:rPr>
          <w:rFonts w:eastAsia="Times New Roman" w:cstheme="minorHAnsi"/>
          <w:color w:val="000000"/>
          <w:lang w:val="es-AR" w:eastAsia="en-GB"/>
        </w:rPr>
        <w:t xml:space="preserve">, ya que </w:t>
      </w:r>
      <w:r w:rsidRPr="003F612F">
        <w:rPr>
          <w:rFonts w:eastAsia="Times New Roman" w:cstheme="minorHAnsi"/>
          <w:color w:val="000000"/>
          <w:lang w:val="es-AR" w:eastAsia="en-GB"/>
        </w:rPr>
        <w:t xml:space="preserve">no existen partidas significativas destinadas a financiar políticas para promover la autonomía y la vida independiente de las PCD. Los fondos asignados a salud mental deberían alcanzar como mínimo el 10% del presupuesto total del </w:t>
      </w:r>
      <w:r w:rsidRPr="003F612F">
        <w:rPr>
          <w:rFonts w:eastAsia="Times New Roman" w:cstheme="minorHAnsi"/>
          <w:color w:val="000000"/>
          <w:lang w:val="es-AR" w:eastAsia="en-GB"/>
        </w:rPr>
        <w:lastRenderedPageBreak/>
        <w:t xml:space="preserve">Ministerio de Salud, pero desde la sanción de la </w:t>
      </w:r>
      <w:r w:rsidR="001513A6">
        <w:rPr>
          <w:rFonts w:eastAsia="Times New Roman" w:cstheme="minorHAnsi"/>
          <w:color w:val="000000"/>
          <w:lang w:val="es-AR" w:eastAsia="en-GB"/>
        </w:rPr>
        <w:t>L</w:t>
      </w:r>
      <w:r w:rsidRPr="003F612F">
        <w:rPr>
          <w:rFonts w:eastAsia="Times New Roman" w:cstheme="minorHAnsi"/>
          <w:color w:val="000000"/>
          <w:lang w:val="es-AR" w:eastAsia="en-GB"/>
        </w:rPr>
        <w:t>ey</w:t>
      </w:r>
      <w:r w:rsidR="001513A6">
        <w:rPr>
          <w:rFonts w:eastAsia="Times New Roman" w:cstheme="minorHAnsi"/>
          <w:color w:val="000000"/>
          <w:lang w:val="es-AR" w:eastAsia="en-GB"/>
        </w:rPr>
        <w:t xml:space="preserve"> de Salud Mental</w:t>
      </w:r>
      <w:r w:rsidRPr="003F612F">
        <w:rPr>
          <w:rFonts w:eastAsia="Times New Roman" w:cstheme="minorHAnsi"/>
          <w:color w:val="000000"/>
          <w:lang w:val="es-AR" w:eastAsia="en-GB"/>
        </w:rPr>
        <w:t xml:space="preserve"> hasta la actualidad nunca superó el 2,2% y un gran porcentaje todavía se destina a los hospitales psiquiátricos</w:t>
      </w:r>
      <w:r w:rsidRPr="003F612F">
        <w:rPr>
          <w:rStyle w:val="Refdenotaalpie"/>
          <w:rFonts w:eastAsia="Times New Roman" w:cstheme="minorHAnsi"/>
          <w:color w:val="000000"/>
          <w:lang w:val="es-AR" w:eastAsia="en-GB"/>
        </w:rPr>
        <w:footnoteReference w:id="63"/>
      </w:r>
      <w:r w:rsidR="00503EF6">
        <w:rPr>
          <w:rFonts w:eastAsia="Times New Roman" w:cstheme="minorHAnsi"/>
          <w:color w:val="000000"/>
          <w:lang w:val="es-AR" w:eastAsia="en-GB"/>
        </w:rPr>
        <w:t>.</w:t>
      </w:r>
      <w:r w:rsidRPr="003F612F">
        <w:rPr>
          <w:rFonts w:eastAsia="Times New Roman" w:cstheme="minorHAnsi"/>
          <w:color w:val="000000"/>
          <w:lang w:val="es-AR" w:eastAsia="en-GB"/>
        </w:rPr>
        <w:t xml:space="preserve"> </w:t>
      </w:r>
    </w:p>
    <w:p w14:paraId="4E9B2ADD" w14:textId="76589EFD" w:rsidR="00B07FDD" w:rsidRPr="003F612F" w:rsidRDefault="001513A6" w:rsidP="00762BF9">
      <w:pPr>
        <w:spacing w:after="240" w:line="276" w:lineRule="auto"/>
        <w:ind w:firstLine="720"/>
        <w:jc w:val="both"/>
        <w:rPr>
          <w:rFonts w:eastAsia="Times New Roman" w:cstheme="minorHAnsi"/>
          <w:lang w:val="es-AR"/>
        </w:rPr>
      </w:pPr>
      <w:r>
        <w:rPr>
          <w:rFonts w:eastAsia="Times New Roman" w:cstheme="minorHAnsi"/>
          <w:lang w:val="es-AR"/>
        </w:rPr>
        <w:t>Por su parte, d</w:t>
      </w:r>
      <w:r w:rsidR="004B7796" w:rsidRPr="003F612F">
        <w:rPr>
          <w:rFonts w:eastAsia="Times New Roman" w:cstheme="minorHAnsi"/>
          <w:lang w:val="es-AR"/>
        </w:rPr>
        <w:t>estacamos la discriminación por motivos de discapacidad al momento de acceder a una vivienda, tal como es el caso de negar la firma de un contrato de alquiler</w:t>
      </w:r>
      <w:r w:rsidR="00D3760C" w:rsidRPr="003F612F">
        <w:rPr>
          <w:rStyle w:val="Refdenotaalpie"/>
          <w:rFonts w:eastAsia="Times New Roman" w:cstheme="minorHAnsi"/>
          <w:lang w:val="es-AR"/>
        </w:rPr>
        <w:footnoteReference w:id="64"/>
      </w:r>
      <w:r w:rsidR="004B7796" w:rsidRPr="003F612F">
        <w:rPr>
          <w:rFonts w:eastAsia="Times New Roman" w:cstheme="minorHAnsi"/>
          <w:lang w:val="es-AR"/>
        </w:rPr>
        <w:t>, rescindirlo por motivos de discapacidad</w:t>
      </w:r>
      <w:r>
        <w:rPr>
          <w:rFonts w:eastAsia="Times New Roman" w:cstheme="minorHAnsi"/>
          <w:lang w:val="es-AR"/>
        </w:rPr>
        <w:t xml:space="preserve">, </w:t>
      </w:r>
      <w:r w:rsidR="004B7796" w:rsidRPr="003F612F">
        <w:rPr>
          <w:rFonts w:eastAsia="Times New Roman" w:cstheme="minorHAnsi"/>
          <w:lang w:val="es-AR"/>
        </w:rPr>
        <w:t xml:space="preserve">alegando que la discapacidad es una potencial causa de incidentes peligrosos que pone en riesgo la propiedad en alquiler o la PCD. Asimismo, se debe destacar la falta de viviendas propias para PCD adultas. </w:t>
      </w:r>
    </w:p>
    <w:p w14:paraId="297C991E" w14:textId="10128833" w:rsidR="00406178" w:rsidRPr="003F612F" w:rsidRDefault="00C60514" w:rsidP="00762BF9">
      <w:pPr>
        <w:shd w:val="clear" w:color="auto" w:fill="FFFFFF"/>
        <w:spacing w:after="240" w:line="276" w:lineRule="auto"/>
        <w:ind w:firstLine="720"/>
        <w:jc w:val="both"/>
        <w:rPr>
          <w:rFonts w:eastAsia="Times New Roman" w:cstheme="minorHAnsi"/>
          <w:lang w:val="es-AR"/>
        </w:rPr>
      </w:pPr>
      <w:r w:rsidRPr="003F612F">
        <w:rPr>
          <w:rFonts w:eastAsia="Times New Roman" w:cstheme="minorHAnsi"/>
          <w:color w:val="000000"/>
          <w:lang w:val="es-AR" w:eastAsia="en-GB"/>
        </w:rPr>
        <w:t>El modelo médico predomina en la regulación de los apoyos para la vida independiente, y no existe cobertura estatal de asistencia personal</w:t>
      </w:r>
      <w:r w:rsidR="00AC6149" w:rsidRPr="003F612F">
        <w:rPr>
          <w:rStyle w:val="Refdenotaalpie"/>
          <w:rFonts w:eastAsia="Times New Roman" w:cstheme="minorHAnsi"/>
          <w:color w:val="000000"/>
          <w:lang w:val="es-AR" w:eastAsia="en-GB"/>
        </w:rPr>
        <w:footnoteReference w:id="65"/>
      </w:r>
      <w:r w:rsidRPr="003F612F">
        <w:rPr>
          <w:rFonts w:eastAsia="Times New Roman" w:cstheme="minorHAnsi"/>
          <w:color w:val="000000"/>
          <w:lang w:val="es-AR" w:eastAsia="en-GB"/>
        </w:rPr>
        <w:t xml:space="preserve">. </w:t>
      </w:r>
      <w:r w:rsidR="001513A6">
        <w:rPr>
          <w:rFonts w:eastAsia="Times New Roman" w:cstheme="minorHAnsi"/>
          <w:lang w:val="es-AR"/>
        </w:rPr>
        <w:t>L</w:t>
      </w:r>
      <w:r w:rsidR="00406178" w:rsidRPr="003F612F">
        <w:rPr>
          <w:rFonts w:eastAsia="Times New Roman" w:cstheme="minorHAnsi"/>
          <w:lang w:val="es-AR"/>
        </w:rPr>
        <w:t>as prestaciones de apoyo reguladas siguen el modelo médico y no reconocen que la persona usuaria pueda seleccionar y coordinar a las personas asistentes personales. La Asociación Azul en la promoción de la figura del asistente personal presentó un proyecto de ley para regularlo en la Provincia de Buenos Aires</w:t>
      </w:r>
      <w:r w:rsidR="00406178" w:rsidRPr="003F612F">
        <w:rPr>
          <w:rStyle w:val="Refdenotaalpie"/>
          <w:rFonts w:cstheme="minorHAnsi"/>
        </w:rPr>
        <w:footnoteReference w:id="66"/>
      </w:r>
      <w:r w:rsidR="00406178" w:rsidRPr="003F612F">
        <w:rPr>
          <w:rFonts w:eastAsia="Times New Roman" w:cstheme="minorHAnsi"/>
          <w:lang w:val="es-AR"/>
        </w:rPr>
        <w:t>. También realizó la demanda en contra del Estado provincial, en virtud de la falta de regulación del servicio de asistente personal por IOMA, causa que tuvo fallo favorable en primera</w:t>
      </w:r>
      <w:r w:rsidR="00406178" w:rsidRPr="003F612F">
        <w:rPr>
          <w:rStyle w:val="Refdenotaalpie"/>
          <w:rFonts w:cstheme="minorHAnsi"/>
        </w:rPr>
        <w:footnoteReference w:id="67"/>
      </w:r>
      <w:r w:rsidR="00406178" w:rsidRPr="003F612F">
        <w:rPr>
          <w:rFonts w:eastAsia="Times New Roman" w:cstheme="minorHAnsi"/>
          <w:lang w:val="es-AR"/>
        </w:rPr>
        <w:t xml:space="preserve"> y segunda instancia, pero el Estado apelo y actualmente se encuentra a la espera de resolución de la Corte Suprema de la Provincia. También sigue pendiente desde hace 13 años la reglamentación de la Ley N°26.480 que incorporó los asistentes domiciliarios a la Ley N° 24.901.</w:t>
      </w:r>
    </w:p>
    <w:p w14:paraId="0E39A71C" w14:textId="3C7A32CF" w:rsidR="00E413A2" w:rsidRPr="003F612F" w:rsidRDefault="00EA5D11" w:rsidP="00762BF9">
      <w:pPr>
        <w:pStyle w:val="NormalWeb"/>
        <w:spacing w:before="280" w:beforeAutospacing="0" w:after="240" w:afterAutospacing="0" w:line="276" w:lineRule="auto"/>
        <w:jc w:val="both"/>
        <w:rPr>
          <w:rFonts w:asciiTheme="minorHAnsi" w:hAnsiTheme="minorHAnsi" w:cstheme="minorHAnsi"/>
          <w:i/>
          <w:iCs/>
          <w:sz w:val="22"/>
          <w:szCs w:val="22"/>
          <w:lang w:val="es-AR"/>
        </w:rPr>
      </w:pPr>
      <w:bookmarkStart w:id="23" w:name="_heading=h.yudm9b8ywovp" w:colFirst="0" w:colLast="0"/>
      <w:bookmarkEnd w:id="23"/>
      <w:r>
        <w:rPr>
          <w:rFonts w:asciiTheme="minorHAnsi" w:hAnsiTheme="minorHAnsi" w:cstheme="minorHAnsi"/>
          <w:b/>
          <w:bCs/>
          <w:i/>
          <w:iCs/>
          <w:color w:val="000000"/>
          <w:sz w:val="22"/>
          <w:szCs w:val="22"/>
          <w:lang w:val="es-AR"/>
        </w:rPr>
        <w:t>Recomendaciones</w:t>
      </w:r>
      <w:r w:rsidRPr="003F612F">
        <w:rPr>
          <w:rFonts w:asciiTheme="minorHAnsi" w:hAnsiTheme="minorHAnsi" w:cstheme="minorHAnsi"/>
          <w:b/>
          <w:bCs/>
          <w:i/>
          <w:iCs/>
          <w:color w:val="000000"/>
          <w:sz w:val="22"/>
          <w:szCs w:val="22"/>
          <w:lang w:val="es-AR"/>
        </w:rPr>
        <w:t xml:space="preserve"> </w:t>
      </w:r>
      <w:r w:rsidR="00E413A2" w:rsidRPr="003F612F">
        <w:rPr>
          <w:rFonts w:asciiTheme="minorHAnsi" w:hAnsiTheme="minorHAnsi" w:cstheme="minorHAnsi"/>
          <w:b/>
          <w:bCs/>
          <w:i/>
          <w:iCs/>
          <w:color w:val="000000"/>
          <w:sz w:val="22"/>
          <w:szCs w:val="22"/>
          <w:lang w:val="es-AR"/>
        </w:rPr>
        <w:t>sugeridas al Estado:</w:t>
      </w:r>
    </w:p>
    <w:p w14:paraId="1AE9F859" w14:textId="13F24F63" w:rsidR="00503EF6" w:rsidRPr="00503EF6" w:rsidRDefault="00503EF6" w:rsidP="00762BF9">
      <w:pPr>
        <w:pStyle w:val="NormalWeb"/>
        <w:numPr>
          <w:ilvl w:val="0"/>
          <w:numId w:val="34"/>
        </w:numPr>
        <w:spacing w:before="0" w:beforeAutospacing="0" w:after="240" w:afterAutospacing="0" w:line="276" w:lineRule="auto"/>
        <w:jc w:val="both"/>
        <w:textAlignment w:val="baseline"/>
        <w:rPr>
          <w:rFonts w:asciiTheme="minorHAnsi" w:hAnsiTheme="minorHAnsi" w:cstheme="minorHAnsi"/>
          <w:color w:val="000000"/>
          <w:sz w:val="22"/>
          <w:szCs w:val="22"/>
          <w:lang w:val="es-AR"/>
        </w:rPr>
      </w:pPr>
      <w:r w:rsidRPr="00503EF6">
        <w:rPr>
          <w:rFonts w:asciiTheme="minorHAnsi" w:hAnsiTheme="minorHAnsi" w:cstheme="minorHAnsi"/>
          <w:color w:val="000000"/>
          <w:sz w:val="22"/>
          <w:szCs w:val="22"/>
          <w:lang w:val="es-ES"/>
        </w:rPr>
        <w:t>Diseñar políticas para garantizar el derecho a la vida independiente de las PCD, el cierre de los diferentes tipos de instituciones asilares que las albergan y el acceso a servicios de apoyo para la vida en la comunidad.</w:t>
      </w:r>
    </w:p>
    <w:p w14:paraId="3CA441E9" w14:textId="77777777" w:rsidR="00EA5D11" w:rsidRPr="003F612F" w:rsidRDefault="00EA5D11" w:rsidP="00762BF9">
      <w:pPr>
        <w:pStyle w:val="NormalWeb"/>
        <w:numPr>
          <w:ilvl w:val="0"/>
          <w:numId w:val="34"/>
        </w:numPr>
        <w:spacing w:before="0" w:beforeAutospacing="0" w:after="240" w:afterAutospacing="0" w:line="276" w:lineRule="auto"/>
        <w:jc w:val="both"/>
        <w:textAlignment w:val="baseline"/>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 xml:space="preserve">Avanzar </w:t>
      </w:r>
      <w:r w:rsidRPr="003F612F">
        <w:rPr>
          <w:rFonts w:asciiTheme="minorHAnsi" w:hAnsiTheme="minorHAnsi" w:cstheme="minorHAnsi"/>
          <w:color w:val="000000"/>
          <w:sz w:val="22"/>
          <w:szCs w:val="22"/>
          <w:lang w:val="es-AR"/>
        </w:rPr>
        <w:t xml:space="preserve">en los procesos de </w:t>
      </w:r>
      <w:proofErr w:type="spellStart"/>
      <w:r w:rsidRPr="003F612F">
        <w:rPr>
          <w:rFonts w:asciiTheme="minorHAnsi" w:hAnsiTheme="minorHAnsi" w:cstheme="minorHAnsi"/>
          <w:color w:val="000000"/>
          <w:sz w:val="22"/>
          <w:szCs w:val="22"/>
          <w:lang w:val="es-AR"/>
        </w:rPr>
        <w:t>externación</w:t>
      </w:r>
      <w:proofErr w:type="spellEnd"/>
      <w:r w:rsidRPr="003F612F">
        <w:rPr>
          <w:rFonts w:asciiTheme="minorHAnsi" w:hAnsiTheme="minorHAnsi" w:cstheme="minorHAnsi"/>
          <w:color w:val="000000"/>
          <w:sz w:val="22"/>
          <w:szCs w:val="22"/>
          <w:lang w:val="es-AR"/>
        </w:rPr>
        <w:t xml:space="preserve"> sustentable de las personas institucionalizadas -incluyendo las específicas de mujeres, identidades feminizadas e infancias y adolescencias-, cerrar los hospitales psiquiátricos aún existentes y crear dispositivos de atención ambulatoria e inclusión social.</w:t>
      </w:r>
    </w:p>
    <w:p w14:paraId="048160F7" w14:textId="77777777" w:rsidR="00EA5D11" w:rsidRPr="006748B6" w:rsidRDefault="00EA5D11" w:rsidP="00762BF9">
      <w:pPr>
        <w:pStyle w:val="NormalWeb"/>
        <w:numPr>
          <w:ilvl w:val="0"/>
          <w:numId w:val="34"/>
        </w:numPr>
        <w:spacing w:before="0" w:beforeAutospacing="0" w:after="240" w:afterAutospacing="0" w:line="276" w:lineRule="auto"/>
        <w:jc w:val="both"/>
        <w:textAlignment w:val="baseline"/>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Incrementar la formación de</w:t>
      </w:r>
      <w:r w:rsidRPr="006748B6">
        <w:rPr>
          <w:rFonts w:asciiTheme="minorHAnsi" w:hAnsiTheme="minorHAnsi" w:cstheme="minorHAnsi"/>
          <w:color w:val="000000"/>
          <w:sz w:val="22"/>
          <w:szCs w:val="22"/>
          <w:lang w:val="es-AR"/>
        </w:rPr>
        <w:t xml:space="preserve"> los y las profesionales con injerencia en el campo de la salud mental en el modelo social de la discapacidad y en el enfoque de la salud mental comunitaria.</w:t>
      </w:r>
    </w:p>
    <w:p w14:paraId="7271849F" w14:textId="77777777" w:rsidR="00EA5D11" w:rsidRPr="003F612F" w:rsidRDefault="00EA5D11" w:rsidP="00762BF9">
      <w:pPr>
        <w:pStyle w:val="NormalWeb"/>
        <w:numPr>
          <w:ilvl w:val="0"/>
          <w:numId w:val="34"/>
        </w:numPr>
        <w:spacing w:before="0" w:beforeAutospacing="0" w:after="240" w:afterAutospacing="0" w:line="276" w:lineRule="auto"/>
        <w:jc w:val="both"/>
        <w:textAlignment w:val="baseline"/>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lastRenderedPageBreak/>
        <w:t xml:space="preserve">Garantizar que </w:t>
      </w:r>
      <w:r w:rsidRPr="003F612F">
        <w:rPr>
          <w:rFonts w:asciiTheme="minorHAnsi" w:hAnsiTheme="minorHAnsi" w:cstheme="minorHAnsi"/>
          <w:color w:val="000000"/>
          <w:sz w:val="22"/>
          <w:szCs w:val="22"/>
          <w:lang w:val="es-AR"/>
        </w:rPr>
        <w:t>la función de defensa técnica del art. 22 de la Ley 26.657 sea implementada en todo el territorio nacional, esté a disposición de toda persona internada y sea garantizada también a personas sujetas a un régimen de internación por razones de salud mental en conflicto con la ley penal.</w:t>
      </w:r>
    </w:p>
    <w:p w14:paraId="07F9BE01" w14:textId="77777777" w:rsidR="00EA5D11" w:rsidRPr="003F612F" w:rsidRDefault="00EA5D11" w:rsidP="00762BF9">
      <w:pPr>
        <w:pStyle w:val="NormalWeb"/>
        <w:numPr>
          <w:ilvl w:val="0"/>
          <w:numId w:val="34"/>
        </w:numPr>
        <w:spacing w:before="0" w:beforeAutospacing="0" w:after="240" w:afterAutospacing="0" w:line="276" w:lineRule="auto"/>
        <w:jc w:val="both"/>
        <w:textAlignment w:val="baseline"/>
        <w:rPr>
          <w:rFonts w:asciiTheme="minorHAnsi" w:hAnsiTheme="minorHAnsi" w:cstheme="minorHAnsi"/>
          <w:sz w:val="22"/>
          <w:szCs w:val="22"/>
          <w:lang w:val="es-AR"/>
        </w:rPr>
      </w:pPr>
      <w:r>
        <w:rPr>
          <w:rFonts w:asciiTheme="minorHAnsi" w:hAnsiTheme="minorHAnsi" w:cstheme="minorHAnsi"/>
          <w:color w:val="000000"/>
          <w:sz w:val="22"/>
          <w:szCs w:val="22"/>
          <w:lang w:val="es-AR"/>
        </w:rPr>
        <w:t>Adecuar</w:t>
      </w:r>
      <w:r w:rsidRPr="003F612F">
        <w:rPr>
          <w:rFonts w:asciiTheme="minorHAnsi" w:hAnsiTheme="minorHAnsi" w:cstheme="minorHAnsi"/>
          <w:color w:val="000000"/>
          <w:sz w:val="22"/>
          <w:szCs w:val="22"/>
          <w:lang w:val="es-AR"/>
        </w:rPr>
        <w:t xml:space="preserve"> el sistema de prestaciones al modelo social de la discapacidad y asegurar el acceso de las PCD a servicios de apoyo, tales como la asistencia personal.</w:t>
      </w:r>
    </w:p>
    <w:p w14:paraId="12FAD1C1" w14:textId="77777777" w:rsidR="00EA5D11" w:rsidRPr="00503EF6" w:rsidRDefault="00EA5D11" w:rsidP="00762BF9">
      <w:pPr>
        <w:pStyle w:val="Prrafodelista"/>
        <w:numPr>
          <w:ilvl w:val="0"/>
          <w:numId w:val="34"/>
        </w:numPr>
        <w:shd w:val="clear" w:color="auto" w:fill="FFFFFF"/>
        <w:spacing w:after="240" w:line="276" w:lineRule="auto"/>
        <w:jc w:val="both"/>
        <w:rPr>
          <w:rFonts w:eastAsia="Times New Roman" w:cstheme="minorHAnsi"/>
          <w:lang w:val="es-AR"/>
        </w:rPr>
      </w:pPr>
      <w:r w:rsidRPr="00503EF6">
        <w:rPr>
          <w:rFonts w:eastAsia="Times New Roman" w:cstheme="minorHAnsi"/>
          <w:lang w:val="es-AR"/>
        </w:rPr>
        <w:t>Reglamentar la Ley 26.480 que regula la figura del asistente domiciliario, cuyos plazos están vencidos.</w:t>
      </w:r>
    </w:p>
    <w:tbl>
      <w:tblPr>
        <w:tblStyle w:val="Tablaconcuadrcula"/>
        <w:tblW w:w="0" w:type="auto"/>
        <w:tblLook w:val="04A0" w:firstRow="1" w:lastRow="0" w:firstColumn="1" w:lastColumn="0" w:noHBand="0" w:noVBand="1"/>
      </w:tblPr>
      <w:tblGrid>
        <w:gridCol w:w="9736"/>
      </w:tblGrid>
      <w:tr w:rsidR="00E413A2" w:rsidRPr="003F612F" w14:paraId="4383E6C9" w14:textId="77777777" w:rsidTr="00CC4E09">
        <w:tc>
          <w:tcPr>
            <w:tcW w:w="9736" w:type="dxa"/>
            <w:shd w:val="clear" w:color="auto" w:fill="D5DCE4" w:themeFill="text2" w:themeFillTint="33"/>
          </w:tcPr>
          <w:p w14:paraId="21E0AE1A" w14:textId="29A9158C" w:rsidR="00E413A2" w:rsidRPr="00F618E4" w:rsidRDefault="00E413A2" w:rsidP="00762BF9">
            <w:pPr>
              <w:pStyle w:val="Ttulo2"/>
              <w:spacing w:line="276" w:lineRule="auto"/>
              <w:jc w:val="center"/>
              <w:outlineLvl w:val="1"/>
              <w:rPr>
                <w:rFonts w:asciiTheme="minorHAnsi" w:eastAsia="Times New Roman" w:hAnsiTheme="minorHAnsi" w:cstheme="minorHAnsi"/>
                <w:b/>
                <w:bCs/>
                <w:color w:val="auto"/>
                <w:lang w:val="es-AR"/>
              </w:rPr>
            </w:pPr>
            <w:bookmarkStart w:id="24" w:name="_Toc124881446"/>
            <w:r w:rsidRPr="00F618E4">
              <w:rPr>
                <w:rFonts w:asciiTheme="minorHAnsi" w:eastAsia="Times New Roman" w:hAnsiTheme="minorHAnsi" w:cstheme="minorHAnsi"/>
                <w:b/>
                <w:bCs/>
                <w:color w:val="auto"/>
                <w:sz w:val="24"/>
                <w:szCs w:val="24"/>
                <w:lang w:val="es-AR"/>
              </w:rPr>
              <w:t>Artículo 20: Movilidad Personal</w:t>
            </w:r>
            <w:bookmarkEnd w:id="24"/>
          </w:p>
        </w:tc>
      </w:tr>
    </w:tbl>
    <w:p w14:paraId="0FA03B4C" w14:textId="77777777" w:rsidR="00E413A2" w:rsidRPr="003F612F" w:rsidRDefault="00E413A2" w:rsidP="00762BF9">
      <w:pPr>
        <w:spacing w:after="0" w:line="276" w:lineRule="auto"/>
        <w:jc w:val="both"/>
        <w:rPr>
          <w:rFonts w:eastAsia="Times New Roman" w:cstheme="minorHAnsi"/>
          <w:b/>
          <w:bCs/>
          <w:highlight w:val="yellow"/>
          <w:lang w:val="es-AR"/>
        </w:rPr>
      </w:pPr>
    </w:p>
    <w:p w14:paraId="50A3B13F" w14:textId="61A77471" w:rsidR="00E413A2" w:rsidRPr="003F612F" w:rsidRDefault="00E413A2" w:rsidP="00762BF9">
      <w:pPr>
        <w:spacing w:after="240" w:line="276" w:lineRule="auto"/>
        <w:ind w:firstLine="720"/>
        <w:jc w:val="both"/>
        <w:rPr>
          <w:rFonts w:eastAsia="Times New Roman" w:cstheme="minorHAnsi"/>
          <w:lang w:val="es-AR"/>
        </w:rPr>
      </w:pPr>
      <w:r w:rsidRPr="003F612F">
        <w:rPr>
          <w:rFonts w:eastAsia="Times New Roman" w:cstheme="minorHAnsi"/>
          <w:lang w:val="es-AR"/>
        </w:rPr>
        <w:t xml:space="preserve">Las PCD encuentran múltiples barreras para acceder al transporte de larga distancia. </w:t>
      </w:r>
      <w:r w:rsidR="004B137B">
        <w:rPr>
          <w:rFonts w:eastAsia="Times New Roman" w:cstheme="minorHAnsi"/>
          <w:lang w:val="es-AR"/>
        </w:rPr>
        <w:t>El Decreto 38/04, reglamentario de la Ley 22.431, determina el derecho de gratuidad de las PCD, sin embargo, las</w:t>
      </w:r>
      <w:r w:rsidRPr="003F612F">
        <w:rPr>
          <w:rFonts w:eastAsia="Times New Roman" w:cstheme="minorHAnsi"/>
          <w:lang w:val="es-AR"/>
        </w:rPr>
        <w:t xml:space="preserve"> empresas prestadoras se apegan </w:t>
      </w:r>
      <w:r w:rsidR="009B6DA9">
        <w:rPr>
          <w:rFonts w:eastAsia="Times New Roman" w:cstheme="minorHAnsi"/>
          <w:lang w:val="es-AR"/>
        </w:rPr>
        <w:t>a</w:t>
      </w:r>
      <w:r w:rsidRPr="003F612F">
        <w:rPr>
          <w:rFonts w:eastAsia="Times New Roman" w:cstheme="minorHAnsi"/>
          <w:lang w:val="es-AR"/>
        </w:rPr>
        <w:t xml:space="preserve">l Decreto Reglamentario 118/06, </w:t>
      </w:r>
      <w:r w:rsidR="004B137B">
        <w:rPr>
          <w:rFonts w:eastAsia="Times New Roman" w:cstheme="minorHAnsi"/>
          <w:lang w:val="es-AR"/>
        </w:rPr>
        <w:t xml:space="preserve">que </w:t>
      </w:r>
      <w:r w:rsidRPr="003F612F">
        <w:rPr>
          <w:rFonts w:eastAsia="Times New Roman" w:cstheme="minorHAnsi"/>
          <w:lang w:val="es-AR"/>
        </w:rPr>
        <w:t>establece un cupo de asientos para PCD por colectivo y reduce el acceso a</w:t>
      </w:r>
      <w:r w:rsidR="006A1929">
        <w:rPr>
          <w:rFonts w:eastAsia="Times New Roman" w:cstheme="minorHAnsi"/>
          <w:lang w:val="es-AR"/>
        </w:rPr>
        <w:t xml:space="preserve"> servicios </w:t>
      </w:r>
      <w:proofErr w:type="spellStart"/>
      <w:r w:rsidRPr="003F612F">
        <w:rPr>
          <w:rFonts w:eastAsia="Times New Roman" w:cstheme="minorHAnsi"/>
          <w:lang w:val="es-AR"/>
        </w:rPr>
        <w:t>semicama</w:t>
      </w:r>
      <w:proofErr w:type="spellEnd"/>
      <w:r w:rsidRPr="003F612F">
        <w:rPr>
          <w:rFonts w:eastAsia="Times New Roman" w:cstheme="minorHAnsi"/>
          <w:lang w:val="es-AR"/>
        </w:rPr>
        <w:t>.</w:t>
      </w:r>
      <w:r w:rsidR="006A1929">
        <w:rPr>
          <w:rFonts w:eastAsia="Times New Roman" w:cstheme="minorHAnsi"/>
          <w:lang w:val="es-AR"/>
        </w:rPr>
        <w:t xml:space="preserve"> Aunado a ello, existen persistentes</w:t>
      </w:r>
      <w:r w:rsidR="006A1929" w:rsidRPr="006A1929">
        <w:t xml:space="preserve"> </w:t>
      </w:r>
      <w:r w:rsidR="006A1929" w:rsidRPr="006A1929">
        <w:rPr>
          <w:rFonts w:eastAsia="Times New Roman" w:cstheme="minorHAnsi"/>
          <w:lang w:val="es-AR"/>
        </w:rPr>
        <w:t xml:space="preserve">barreras físicas para acceder a </w:t>
      </w:r>
      <w:r w:rsidR="006A1929">
        <w:rPr>
          <w:rFonts w:eastAsia="Times New Roman" w:cstheme="minorHAnsi"/>
          <w:lang w:val="es-AR"/>
        </w:rPr>
        <w:t xml:space="preserve">los servicios </w:t>
      </w:r>
      <w:r w:rsidR="006A1929" w:rsidRPr="006A1929">
        <w:rPr>
          <w:rFonts w:eastAsia="Times New Roman" w:cstheme="minorHAnsi"/>
          <w:lang w:val="es-AR"/>
        </w:rPr>
        <w:t>de larga distancia</w:t>
      </w:r>
      <w:r w:rsidR="006A1929">
        <w:rPr>
          <w:rFonts w:eastAsia="Times New Roman" w:cstheme="minorHAnsi"/>
          <w:lang w:val="es-AR"/>
        </w:rPr>
        <w:t>.</w:t>
      </w:r>
      <w:r w:rsidR="00D93049">
        <w:rPr>
          <w:rFonts w:eastAsia="Times New Roman" w:cstheme="minorHAnsi"/>
          <w:lang w:val="es-AR"/>
        </w:rPr>
        <w:t xml:space="preserve"> La Resolución 91/18 mencionada en el Informe País</w:t>
      </w:r>
      <w:r w:rsidR="009B6DA9">
        <w:rPr>
          <w:rStyle w:val="Refdenotaalpie"/>
          <w:rFonts w:eastAsia="Times New Roman" w:cstheme="minorHAnsi"/>
          <w:lang w:val="es-AR"/>
        </w:rPr>
        <w:footnoteReference w:id="68"/>
      </w:r>
      <w:r w:rsidR="009B6DA9">
        <w:rPr>
          <w:rFonts w:eastAsia="Times New Roman" w:cstheme="minorHAnsi"/>
          <w:lang w:val="es-AR"/>
        </w:rPr>
        <w:t xml:space="preserve"> </w:t>
      </w:r>
      <w:r w:rsidR="00D93049">
        <w:rPr>
          <w:rFonts w:eastAsia="Times New Roman" w:cstheme="minorHAnsi"/>
          <w:lang w:val="es-AR"/>
        </w:rPr>
        <w:t>no trajo mejoras en la accesibilidad</w:t>
      </w:r>
      <w:r w:rsidR="00F60374">
        <w:rPr>
          <w:rFonts w:eastAsia="Times New Roman" w:cstheme="minorHAnsi"/>
          <w:lang w:val="es-AR"/>
        </w:rPr>
        <w:t xml:space="preserve">. </w:t>
      </w:r>
    </w:p>
    <w:p w14:paraId="3AB37590" w14:textId="6FB4F09B" w:rsidR="00012615" w:rsidRPr="003F612F" w:rsidRDefault="00012615" w:rsidP="00762BF9">
      <w:pPr>
        <w:pStyle w:val="NormalWeb"/>
        <w:shd w:val="clear" w:color="auto" w:fill="FFFFFF"/>
        <w:spacing w:before="0" w:beforeAutospacing="0" w:after="200" w:afterAutospacing="0" w:line="276" w:lineRule="auto"/>
        <w:ind w:firstLine="720"/>
        <w:jc w:val="both"/>
        <w:rPr>
          <w:rFonts w:asciiTheme="minorHAnsi" w:hAnsiTheme="minorHAnsi" w:cstheme="minorHAnsi"/>
          <w:color w:val="26282A"/>
          <w:sz w:val="22"/>
          <w:szCs w:val="22"/>
          <w:lang w:val="es-AR"/>
        </w:rPr>
      </w:pPr>
      <w:r w:rsidRPr="003F612F">
        <w:rPr>
          <w:rFonts w:asciiTheme="minorHAnsi" w:hAnsiTheme="minorHAnsi" w:cstheme="minorHAnsi"/>
          <w:color w:val="26282A"/>
          <w:sz w:val="22"/>
          <w:szCs w:val="22"/>
          <w:lang w:val="es-ES"/>
        </w:rPr>
        <w:t xml:space="preserve">En relación con el Comité de Asesoramiento y Contralor (CAC) de la </w:t>
      </w:r>
      <w:r w:rsidR="00955811" w:rsidRPr="003F612F">
        <w:rPr>
          <w:rFonts w:asciiTheme="minorHAnsi" w:hAnsiTheme="minorHAnsi" w:cstheme="minorHAnsi"/>
          <w:color w:val="26282A"/>
          <w:sz w:val="22"/>
          <w:szCs w:val="22"/>
          <w:lang w:val="es-ES"/>
        </w:rPr>
        <w:t>Ley 24.314</w:t>
      </w:r>
      <w:r w:rsidR="00CA68EE">
        <w:rPr>
          <w:rFonts w:asciiTheme="minorHAnsi" w:hAnsiTheme="minorHAnsi" w:cstheme="minorHAnsi"/>
          <w:color w:val="26282A"/>
          <w:sz w:val="22"/>
          <w:szCs w:val="22"/>
          <w:lang w:val="es-ES"/>
        </w:rPr>
        <w:t xml:space="preserve"> sobre</w:t>
      </w:r>
      <w:r w:rsidR="004B137B">
        <w:rPr>
          <w:rFonts w:asciiTheme="minorHAnsi" w:hAnsiTheme="minorHAnsi" w:cstheme="minorHAnsi"/>
          <w:color w:val="26282A"/>
          <w:sz w:val="22"/>
          <w:szCs w:val="22"/>
          <w:lang w:val="es-ES"/>
        </w:rPr>
        <w:t xml:space="preserve"> accesibilidad de personas con movilidad reducida</w:t>
      </w:r>
      <w:r w:rsidR="00955811" w:rsidRPr="003F612F">
        <w:rPr>
          <w:rFonts w:asciiTheme="minorHAnsi" w:hAnsiTheme="minorHAnsi" w:cstheme="minorHAnsi"/>
          <w:color w:val="26282A"/>
          <w:sz w:val="22"/>
          <w:szCs w:val="22"/>
          <w:lang w:val="es-ES"/>
        </w:rPr>
        <w:t>, no hay representación de un organismo sobre discapacidad dado que la CONADIS fue reemplazada por la ANDIS, pero esta no continuó su rol ante el CAC</w:t>
      </w:r>
      <w:r w:rsidR="00CA68EE">
        <w:rPr>
          <w:rFonts w:asciiTheme="minorHAnsi" w:hAnsiTheme="minorHAnsi" w:cstheme="minorHAnsi"/>
          <w:color w:val="26282A"/>
          <w:sz w:val="22"/>
          <w:szCs w:val="22"/>
          <w:lang w:val="es-ES"/>
        </w:rPr>
        <w:t>.</w:t>
      </w:r>
      <w:r w:rsidRPr="003F612F">
        <w:rPr>
          <w:rStyle w:val="Refdenotaalpie"/>
          <w:rFonts w:asciiTheme="minorHAnsi" w:hAnsiTheme="minorHAnsi" w:cstheme="minorHAnsi"/>
          <w:color w:val="26282A"/>
          <w:sz w:val="22"/>
          <w:szCs w:val="22"/>
          <w:lang w:val="es-ES"/>
        </w:rPr>
        <w:footnoteReference w:id="69"/>
      </w:r>
      <w:r w:rsidR="00681BF1">
        <w:rPr>
          <w:rFonts w:asciiTheme="minorHAnsi" w:hAnsiTheme="minorHAnsi" w:cstheme="minorHAnsi"/>
          <w:color w:val="26282A"/>
          <w:sz w:val="22"/>
          <w:szCs w:val="22"/>
          <w:lang w:val="es-ES"/>
        </w:rPr>
        <w:t xml:space="preserve">. Tampoco se conocen avances </w:t>
      </w:r>
      <w:r w:rsidR="00F25332">
        <w:rPr>
          <w:rFonts w:asciiTheme="minorHAnsi" w:hAnsiTheme="minorHAnsi" w:cstheme="minorHAnsi"/>
          <w:color w:val="26282A"/>
          <w:sz w:val="22"/>
          <w:szCs w:val="22"/>
          <w:lang w:val="es-ES"/>
        </w:rPr>
        <w:t>respecto al desarrollo de unidades de larga distancia accesible</w:t>
      </w:r>
      <w:r w:rsidR="00BC0F7D">
        <w:rPr>
          <w:rFonts w:asciiTheme="minorHAnsi" w:hAnsiTheme="minorHAnsi" w:cstheme="minorHAnsi"/>
          <w:color w:val="26282A"/>
          <w:sz w:val="22"/>
          <w:szCs w:val="22"/>
          <w:lang w:val="es-ES"/>
        </w:rPr>
        <w:t>, mencionada en el Informe País</w:t>
      </w:r>
      <w:r w:rsidR="009B6DA9">
        <w:rPr>
          <w:rStyle w:val="Refdenotaalpie"/>
          <w:rFonts w:asciiTheme="minorHAnsi" w:hAnsiTheme="minorHAnsi" w:cstheme="minorHAnsi"/>
          <w:color w:val="26282A"/>
          <w:sz w:val="22"/>
          <w:szCs w:val="22"/>
          <w:lang w:val="es-ES"/>
        </w:rPr>
        <w:footnoteReference w:id="70"/>
      </w:r>
      <w:r w:rsidR="00BC0F7D">
        <w:rPr>
          <w:rFonts w:asciiTheme="minorHAnsi" w:hAnsiTheme="minorHAnsi" w:cstheme="minorHAnsi"/>
          <w:color w:val="26282A"/>
          <w:sz w:val="22"/>
          <w:szCs w:val="22"/>
          <w:lang w:val="es-ES"/>
        </w:rPr>
        <w:t xml:space="preserve"> </w:t>
      </w:r>
      <w:r w:rsidR="00E54A75">
        <w:rPr>
          <w:rFonts w:asciiTheme="minorHAnsi" w:hAnsiTheme="minorHAnsi" w:cstheme="minorHAnsi"/>
          <w:color w:val="26282A"/>
          <w:sz w:val="22"/>
          <w:szCs w:val="22"/>
          <w:lang w:val="es-ES"/>
        </w:rPr>
        <w:t>a la que se comprometió la Dirección Nacional de Transporte</w:t>
      </w:r>
      <w:r w:rsidR="005D65CB">
        <w:rPr>
          <w:rFonts w:asciiTheme="minorHAnsi" w:hAnsiTheme="minorHAnsi" w:cstheme="minorHAnsi"/>
          <w:color w:val="26282A"/>
          <w:sz w:val="22"/>
          <w:szCs w:val="22"/>
          <w:lang w:val="es-ES"/>
        </w:rPr>
        <w:t xml:space="preserve"> Automotor de Pasajeros y la </w:t>
      </w:r>
      <w:r w:rsidR="0066235F">
        <w:rPr>
          <w:rFonts w:asciiTheme="minorHAnsi" w:hAnsiTheme="minorHAnsi" w:cstheme="minorHAnsi"/>
          <w:color w:val="26282A"/>
          <w:sz w:val="22"/>
          <w:szCs w:val="22"/>
          <w:lang w:val="es-ES"/>
        </w:rPr>
        <w:t>Comisión Nacional de Tránsito y</w:t>
      </w:r>
      <w:r w:rsidR="00BC0F7D">
        <w:rPr>
          <w:rFonts w:asciiTheme="minorHAnsi" w:hAnsiTheme="minorHAnsi" w:cstheme="minorHAnsi"/>
          <w:color w:val="26282A"/>
          <w:sz w:val="22"/>
          <w:szCs w:val="22"/>
          <w:lang w:val="es-ES"/>
        </w:rPr>
        <w:t xml:space="preserve"> de</w:t>
      </w:r>
      <w:r w:rsidR="0066235F">
        <w:rPr>
          <w:rFonts w:asciiTheme="minorHAnsi" w:hAnsiTheme="minorHAnsi" w:cstheme="minorHAnsi"/>
          <w:color w:val="26282A"/>
          <w:sz w:val="22"/>
          <w:szCs w:val="22"/>
          <w:lang w:val="es-ES"/>
        </w:rPr>
        <w:t xml:space="preserve"> la Seguridad Vial</w:t>
      </w:r>
      <w:r w:rsidR="00167E97">
        <w:rPr>
          <w:rFonts w:asciiTheme="minorHAnsi" w:hAnsiTheme="minorHAnsi" w:cstheme="minorHAnsi"/>
          <w:color w:val="26282A"/>
          <w:sz w:val="22"/>
          <w:szCs w:val="22"/>
          <w:lang w:val="es-ES"/>
        </w:rPr>
        <w:t>.</w:t>
      </w:r>
    </w:p>
    <w:p w14:paraId="2E3DDDD4" w14:textId="212794B6" w:rsidR="00E413A2" w:rsidRPr="003F612F" w:rsidRDefault="009B6DA9" w:rsidP="00762BF9">
      <w:pPr>
        <w:pStyle w:val="NormalWeb"/>
        <w:spacing w:before="0" w:beforeAutospacing="0" w:after="240" w:afterAutospacing="0" w:line="276" w:lineRule="auto"/>
        <w:ind w:firstLine="720"/>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E</w:t>
      </w:r>
      <w:r w:rsidR="00E413A2" w:rsidRPr="003F612F">
        <w:rPr>
          <w:rFonts w:asciiTheme="minorHAnsi" w:hAnsiTheme="minorHAnsi" w:cstheme="minorHAnsi"/>
          <w:color w:val="000000"/>
          <w:sz w:val="22"/>
          <w:szCs w:val="22"/>
          <w:lang w:val="es-AR"/>
        </w:rPr>
        <w:t xml:space="preserve">n 2018, la Asociación Azul presentó una demanda contra las empresas de transporte automotor de la </w:t>
      </w:r>
      <w:r w:rsidR="006E294E" w:rsidRPr="003F612F">
        <w:rPr>
          <w:rFonts w:asciiTheme="minorHAnsi" w:hAnsiTheme="minorHAnsi" w:cstheme="minorHAnsi"/>
          <w:color w:val="000000"/>
          <w:sz w:val="22"/>
          <w:szCs w:val="22"/>
          <w:lang w:val="es-AR"/>
        </w:rPr>
        <w:t>Provincia de Buenos Aires</w:t>
      </w:r>
      <w:r w:rsidR="00E413A2" w:rsidRPr="003F612F">
        <w:rPr>
          <w:rFonts w:asciiTheme="minorHAnsi" w:hAnsiTheme="minorHAnsi" w:cstheme="minorHAnsi"/>
          <w:color w:val="000000"/>
          <w:sz w:val="22"/>
          <w:szCs w:val="22"/>
          <w:lang w:val="es-AR"/>
        </w:rPr>
        <w:t xml:space="preserve"> </w:t>
      </w:r>
      <w:r w:rsidR="00DB4559" w:rsidRPr="003F612F">
        <w:rPr>
          <w:rFonts w:asciiTheme="minorHAnsi" w:hAnsiTheme="minorHAnsi" w:cstheme="minorHAnsi"/>
          <w:color w:val="000000"/>
          <w:sz w:val="22"/>
          <w:szCs w:val="22"/>
          <w:lang w:val="es-AR"/>
        </w:rPr>
        <w:t xml:space="preserve">ante </w:t>
      </w:r>
      <w:r w:rsidR="00E413A2" w:rsidRPr="003F612F">
        <w:rPr>
          <w:rFonts w:asciiTheme="minorHAnsi" w:hAnsiTheme="minorHAnsi" w:cstheme="minorHAnsi"/>
          <w:color w:val="000000"/>
          <w:sz w:val="22"/>
          <w:szCs w:val="22"/>
          <w:lang w:val="es-AR"/>
        </w:rPr>
        <w:t>el incumplimiento del marco normativo</w:t>
      </w:r>
      <w:r w:rsidR="00955811" w:rsidRPr="003F612F">
        <w:rPr>
          <w:rFonts w:asciiTheme="minorHAnsi" w:hAnsiTheme="minorHAnsi" w:cstheme="minorHAnsi"/>
          <w:color w:val="000000"/>
          <w:sz w:val="22"/>
          <w:szCs w:val="22"/>
          <w:lang w:val="es-AR"/>
        </w:rPr>
        <w:t>.</w:t>
      </w:r>
      <w:r w:rsidR="00E413A2" w:rsidRPr="003F612F">
        <w:rPr>
          <w:rFonts w:asciiTheme="minorHAnsi" w:hAnsiTheme="minorHAnsi" w:cstheme="minorHAnsi"/>
          <w:color w:val="000000"/>
          <w:sz w:val="22"/>
          <w:szCs w:val="22"/>
          <w:lang w:val="es-AR"/>
        </w:rPr>
        <w:t xml:space="preserve"> Se obtuvo un fallo favorable en </w:t>
      </w:r>
      <w:r w:rsidR="00955811" w:rsidRPr="003F612F">
        <w:rPr>
          <w:rFonts w:asciiTheme="minorHAnsi" w:hAnsiTheme="minorHAnsi" w:cstheme="minorHAnsi"/>
          <w:color w:val="000000"/>
          <w:sz w:val="22"/>
          <w:szCs w:val="22"/>
          <w:lang w:val="es-AR"/>
        </w:rPr>
        <w:t>primera y segunda instancia</w:t>
      </w:r>
      <w:r w:rsidR="00E413A2" w:rsidRPr="003F612F">
        <w:rPr>
          <w:rStyle w:val="Refdenotaalpie"/>
          <w:rFonts w:asciiTheme="minorHAnsi" w:hAnsiTheme="minorHAnsi" w:cstheme="minorHAnsi"/>
          <w:color w:val="000000"/>
          <w:sz w:val="22"/>
          <w:szCs w:val="22"/>
          <w:lang w:val="es-AR"/>
        </w:rPr>
        <w:footnoteReference w:id="71"/>
      </w:r>
      <w:r w:rsidR="007648F5" w:rsidRPr="003F612F">
        <w:rPr>
          <w:rFonts w:asciiTheme="minorHAnsi" w:hAnsiTheme="minorHAnsi" w:cstheme="minorHAnsi"/>
          <w:color w:val="000000"/>
          <w:sz w:val="22"/>
          <w:szCs w:val="22"/>
          <w:lang w:val="es-AR"/>
        </w:rPr>
        <w:t xml:space="preserve">, </w:t>
      </w:r>
      <w:r w:rsidR="00DB4559" w:rsidRPr="003F612F">
        <w:rPr>
          <w:rFonts w:asciiTheme="minorHAnsi" w:hAnsiTheme="minorHAnsi" w:cstheme="minorHAnsi"/>
          <w:color w:val="000000"/>
          <w:sz w:val="22"/>
          <w:szCs w:val="22"/>
          <w:lang w:val="es-AR"/>
        </w:rPr>
        <w:t>pero</w:t>
      </w:r>
      <w:r w:rsidR="00781479">
        <w:rPr>
          <w:rFonts w:asciiTheme="minorHAnsi" w:hAnsiTheme="minorHAnsi" w:cstheme="minorHAnsi"/>
          <w:color w:val="000000"/>
          <w:sz w:val="22"/>
          <w:szCs w:val="22"/>
          <w:lang w:val="es-AR"/>
        </w:rPr>
        <w:t xml:space="preserve"> se encuentra </w:t>
      </w:r>
      <w:r w:rsidR="00E413A2" w:rsidRPr="003F612F">
        <w:rPr>
          <w:rFonts w:asciiTheme="minorHAnsi" w:hAnsiTheme="minorHAnsi" w:cstheme="minorHAnsi"/>
          <w:color w:val="000000"/>
          <w:sz w:val="22"/>
          <w:szCs w:val="22"/>
          <w:lang w:val="es-AR"/>
        </w:rPr>
        <w:t>apelado a la espera de una resolución por la</w:t>
      </w:r>
      <w:r w:rsidR="00BD2AB7" w:rsidRPr="003F612F">
        <w:rPr>
          <w:rFonts w:asciiTheme="minorHAnsi" w:hAnsiTheme="minorHAnsi" w:cstheme="minorHAnsi"/>
          <w:color w:val="000000"/>
          <w:sz w:val="22"/>
          <w:szCs w:val="22"/>
          <w:lang w:val="es-AR"/>
        </w:rPr>
        <w:t xml:space="preserve"> Corte</w:t>
      </w:r>
      <w:r w:rsidR="00E413A2" w:rsidRPr="003F612F">
        <w:rPr>
          <w:rFonts w:asciiTheme="minorHAnsi" w:hAnsiTheme="minorHAnsi" w:cstheme="minorHAnsi"/>
          <w:color w:val="000000"/>
          <w:sz w:val="22"/>
          <w:szCs w:val="22"/>
          <w:lang w:val="es-AR"/>
        </w:rPr>
        <w:t xml:space="preserve"> Suprema</w:t>
      </w:r>
      <w:r w:rsidR="007648F5" w:rsidRPr="003F612F">
        <w:rPr>
          <w:rFonts w:asciiTheme="minorHAnsi" w:hAnsiTheme="minorHAnsi" w:cstheme="minorHAnsi"/>
          <w:color w:val="000000"/>
          <w:sz w:val="22"/>
          <w:szCs w:val="22"/>
          <w:lang w:val="es-AR"/>
        </w:rPr>
        <w:t>.</w:t>
      </w:r>
      <w:r w:rsidR="00E413A2" w:rsidRPr="003F612F">
        <w:rPr>
          <w:rFonts w:asciiTheme="minorHAnsi" w:hAnsiTheme="minorHAnsi" w:cstheme="minorHAnsi"/>
          <w:color w:val="000000"/>
          <w:sz w:val="22"/>
          <w:szCs w:val="22"/>
          <w:lang w:val="es-AR"/>
        </w:rPr>
        <w:t> </w:t>
      </w:r>
    </w:p>
    <w:p w14:paraId="4C906D6B" w14:textId="4F94A1B2" w:rsidR="000D22BC" w:rsidRPr="003F612F" w:rsidRDefault="004B137B" w:rsidP="00762BF9">
      <w:pPr>
        <w:pStyle w:val="NormalWeb"/>
        <w:spacing w:before="0" w:beforeAutospacing="0" w:after="240" w:afterAutospacing="0" w:line="276" w:lineRule="auto"/>
        <w:ind w:firstLine="720"/>
        <w:jc w:val="both"/>
        <w:rPr>
          <w:rFonts w:asciiTheme="minorHAnsi" w:eastAsia="Calibri" w:hAnsiTheme="minorHAnsi" w:cstheme="minorHAnsi"/>
          <w:iCs/>
          <w:sz w:val="22"/>
          <w:szCs w:val="22"/>
          <w:lang w:val="es-AR"/>
        </w:rPr>
      </w:pPr>
      <w:r>
        <w:rPr>
          <w:rFonts w:asciiTheme="minorHAnsi" w:hAnsiTheme="minorHAnsi" w:cstheme="minorHAnsi"/>
          <w:color w:val="000000"/>
          <w:sz w:val="22"/>
          <w:szCs w:val="22"/>
          <w:lang w:val="es-AR"/>
        </w:rPr>
        <w:t xml:space="preserve">Con </w:t>
      </w:r>
      <w:r w:rsidR="00751C62">
        <w:rPr>
          <w:rFonts w:asciiTheme="minorHAnsi" w:hAnsiTheme="minorHAnsi" w:cstheme="minorHAnsi"/>
          <w:color w:val="000000"/>
          <w:sz w:val="22"/>
          <w:szCs w:val="22"/>
          <w:lang w:val="es-AR"/>
        </w:rPr>
        <w:t>relación al transporte urbano, las PCD</w:t>
      </w:r>
      <w:r w:rsidR="000D22BC" w:rsidRPr="003F612F">
        <w:rPr>
          <w:rFonts w:asciiTheme="minorHAnsi" w:hAnsiTheme="minorHAnsi" w:cstheme="minorHAnsi"/>
          <w:color w:val="000000"/>
          <w:sz w:val="22"/>
          <w:szCs w:val="22"/>
          <w:lang w:val="es-AR"/>
        </w:rPr>
        <w:t xml:space="preserve"> no están incluidas en el Sistema Único de Boleto Electrónico (SUBE)</w:t>
      </w:r>
      <w:r w:rsidR="00CB0E43" w:rsidRPr="003F612F">
        <w:rPr>
          <w:rFonts w:asciiTheme="minorHAnsi" w:hAnsiTheme="minorHAnsi" w:cstheme="minorHAnsi"/>
          <w:color w:val="000000"/>
          <w:sz w:val="22"/>
          <w:szCs w:val="22"/>
          <w:lang w:val="es-AR"/>
        </w:rPr>
        <w:t xml:space="preserve"> utilizado en colectivos y subtes,</w:t>
      </w:r>
      <w:r w:rsidR="000D22BC" w:rsidRPr="003F612F">
        <w:rPr>
          <w:rFonts w:asciiTheme="minorHAnsi" w:hAnsiTheme="minorHAnsi" w:cstheme="minorHAnsi"/>
          <w:color w:val="000000"/>
          <w:sz w:val="22"/>
          <w:szCs w:val="22"/>
          <w:lang w:val="es-AR"/>
        </w:rPr>
        <w:t xml:space="preserve"> que expide el comprobante de</w:t>
      </w:r>
      <w:r w:rsidR="00CB0E43" w:rsidRPr="003F612F">
        <w:rPr>
          <w:rFonts w:asciiTheme="minorHAnsi" w:hAnsiTheme="minorHAnsi" w:cstheme="minorHAnsi"/>
          <w:color w:val="000000"/>
          <w:sz w:val="22"/>
          <w:szCs w:val="22"/>
          <w:lang w:val="es-AR"/>
        </w:rPr>
        <w:t xml:space="preserve"> viaje y da acceso al seguro a quienes utilicen el transporte. En diciembre de 2022 el Juzgado en lo Contencioso Administrativo Federal Nº5</w:t>
      </w:r>
      <w:r w:rsidR="00CB0E43" w:rsidRPr="003F612F">
        <w:rPr>
          <w:rStyle w:val="Refdenotaalpie"/>
          <w:rFonts w:asciiTheme="minorHAnsi" w:hAnsiTheme="minorHAnsi" w:cstheme="minorHAnsi"/>
          <w:color w:val="000000"/>
          <w:sz w:val="22"/>
          <w:szCs w:val="22"/>
          <w:lang w:val="es-AR"/>
        </w:rPr>
        <w:footnoteReference w:id="72"/>
      </w:r>
      <w:r w:rsidR="00CB0E43" w:rsidRPr="003F612F">
        <w:rPr>
          <w:rFonts w:asciiTheme="minorHAnsi" w:hAnsiTheme="minorHAnsi" w:cstheme="minorHAnsi"/>
          <w:color w:val="000000"/>
          <w:sz w:val="22"/>
          <w:szCs w:val="22"/>
          <w:lang w:val="es-AR"/>
        </w:rPr>
        <w:t xml:space="preserve"> instó a que en el plazo de 90 días sean incluidas las PCD al SUBE manteniendo la gratuidad del transporte que fija la Ley Nº22.431.</w:t>
      </w:r>
      <w:r w:rsidR="000D22BC" w:rsidRPr="003F612F">
        <w:rPr>
          <w:rFonts w:asciiTheme="minorHAnsi" w:hAnsiTheme="minorHAnsi" w:cstheme="minorHAnsi"/>
          <w:color w:val="000000"/>
          <w:sz w:val="22"/>
          <w:szCs w:val="22"/>
          <w:lang w:val="es-AR"/>
        </w:rPr>
        <w:t xml:space="preserve"> </w:t>
      </w:r>
    </w:p>
    <w:p w14:paraId="1673E3E3" w14:textId="533A95EB" w:rsidR="00E413A2" w:rsidRPr="003F612F" w:rsidRDefault="009A4C75" w:rsidP="00762BF9">
      <w:pPr>
        <w:spacing w:after="240" w:line="276" w:lineRule="auto"/>
        <w:jc w:val="both"/>
        <w:rPr>
          <w:rFonts w:eastAsia="Times New Roman" w:cstheme="minorHAnsi"/>
          <w:b/>
          <w:bCs/>
          <w:i/>
          <w:iCs/>
          <w:u w:val="single"/>
          <w:lang w:val="es-AR"/>
        </w:rPr>
      </w:pPr>
      <w:r>
        <w:rPr>
          <w:rFonts w:eastAsia="Times New Roman" w:cstheme="minorHAnsi"/>
          <w:b/>
          <w:bCs/>
          <w:i/>
          <w:iCs/>
          <w:u w:val="single"/>
          <w:lang w:val="es-AR"/>
        </w:rPr>
        <w:lastRenderedPageBreak/>
        <w:t>Recomendaciones</w:t>
      </w:r>
      <w:r w:rsidRPr="003F612F">
        <w:rPr>
          <w:rFonts w:eastAsia="Times New Roman" w:cstheme="minorHAnsi"/>
          <w:b/>
          <w:bCs/>
          <w:i/>
          <w:iCs/>
          <w:u w:val="single"/>
          <w:lang w:val="es-AR"/>
        </w:rPr>
        <w:t xml:space="preserve"> </w:t>
      </w:r>
      <w:r w:rsidR="00E413A2" w:rsidRPr="003F612F">
        <w:rPr>
          <w:rFonts w:eastAsia="Times New Roman" w:cstheme="minorHAnsi"/>
          <w:b/>
          <w:bCs/>
          <w:i/>
          <w:iCs/>
          <w:u w:val="single"/>
          <w:lang w:val="es-AR"/>
        </w:rPr>
        <w:t xml:space="preserve">al Estado: </w:t>
      </w:r>
    </w:p>
    <w:p w14:paraId="0E55836A" w14:textId="77777777" w:rsidR="00810F4E" w:rsidRDefault="005133D5" w:rsidP="00762BF9">
      <w:pPr>
        <w:pStyle w:val="Prrafodelista"/>
        <w:numPr>
          <w:ilvl w:val="0"/>
          <w:numId w:val="12"/>
        </w:numPr>
        <w:spacing w:after="240" w:line="276" w:lineRule="auto"/>
        <w:ind w:left="714" w:hanging="357"/>
        <w:contextualSpacing w:val="0"/>
        <w:jc w:val="both"/>
        <w:rPr>
          <w:rFonts w:eastAsia="Times New Roman" w:cstheme="minorHAnsi"/>
          <w:lang w:val="es-AR"/>
        </w:rPr>
      </w:pPr>
      <w:r>
        <w:rPr>
          <w:rFonts w:eastAsia="Times New Roman" w:cstheme="minorHAnsi"/>
          <w:lang w:val="es-AR"/>
        </w:rPr>
        <w:t>Implementar medidas</w:t>
      </w:r>
      <w:r w:rsidRPr="003F612F">
        <w:rPr>
          <w:rFonts w:eastAsia="Times New Roman" w:cstheme="minorHAnsi"/>
          <w:lang w:val="es-AR"/>
        </w:rPr>
        <w:t xml:space="preserve"> para facilitar el transporte de </w:t>
      </w:r>
      <w:r>
        <w:rPr>
          <w:rFonts w:eastAsia="Times New Roman" w:cstheme="minorHAnsi"/>
          <w:lang w:val="es-AR"/>
        </w:rPr>
        <w:t>PCD y</w:t>
      </w:r>
      <w:r w:rsidRPr="003F612F">
        <w:rPr>
          <w:rFonts w:eastAsia="Times New Roman" w:cstheme="minorHAnsi"/>
          <w:lang w:val="es-AR"/>
        </w:rPr>
        <w:t xml:space="preserve"> mejorar el acceso al transporte en sus distintas modalidades</w:t>
      </w:r>
      <w:r>
        <w:rPr>
          <w:rFonts w:eastAsia="Times New Roman" w:cstheme="minorHAnsi"/>
          <w:lang w:val="es-AR"/>
        </w:rPr>
        <w:t>.</w:t>
      </w:r>
    </w:p>
    <w:p w14:paraId="23414DC8" w14:textId="63FBA34E" w:rsidR="005133D5" w:rsidRPr="003F612F" w:rsidRDefault="005133D5" w:rsidP="00762BF9">
      <w:pPr>
        <w:pStyle w:val="Prrafodelista"/>
        <w:numPr>
          <w:ilvl w:val="0"/>
          <w:numId w:val="12"/>
        </w:numPr>
        <w:spacing w:after="240" w:line="276" w:lineRule="auto"/>
        <w:ind w:left="714" w:hanging="357"/>
        <w:contextualSpacing w:val="0"/>
        <w:jc w:val="both"/>
        <w:rPr>
          <w:rFonts w:eastAsia="Times New Roman" w:cstheme="minorHAnsi"/>
          <w:lang w:val="es-AR"/>
        </w:rPr>
      </w:pPr>
      <w:r>
        <w:rPr>
          <w:rFonts w:eastAsia="Times New Roman" w:cstheme="minorHAnsi"/>
          <w:lang w:val="es-AR"/>
        </w:rPr>
        <w:t>Derogar el Decreto 118/06 que</w:t>
      </w:r>
      <w:r w:rsidR="00AD4979">
        <w:rPr>
          <w:rFonts w:eastAsia="Times New Roman" w:cstheme="minorHAnsi"/>
          <w:lang w:val="es-AR"/>
        </w:rPr>
        <w:t xml:space="preserve"> al establecer un cupo de asientos par PCD en el transporte de larga distancia,</w:t>
      </w:r>
      <w:r>
        <w:rPr>
          <w:rFonts w:eastAsia="Times New Roman" w:cstheme="minorHAnsi"/>
          <w:lang w:val="es-AR"/>
        </w:rPr>
        <w:t xml:space="preserve"> </w:t>
      </w:r>
      <w:r w:rsidR="00AD4979">
        <w:rPr>
          <w:rFonts w:eastAsia="Times New Roman" w:cstheme="minorHAnsi"/>
          <w:lang w:val="es-AR"/>
        </w:rPr>
        <w:t>limita la posibilidad de obtener pasajes gratuitos.</w:t>
      </w:r>
    </w:p>
    <w:p w14:paraId="1B51B039" w14:textId="77777777" w:rsidR="005133D5" w:rsidRPr="003F612F" w:rsidRDefault="005133D5" w:rsidP="00762BF9">
      <w:pPr>
        <w:pStyle w:val="Prrafodelista"/>
        <w:numPr>
          <w:ilvl w:val="0"/>
          <w:numId w:val="12"/>
        </w:numPr>
        <w:spacing w:after="240" w:line="276" w:lineRule="auto"/>
        <w:ind w:left="714" w:hanging="357"/>
        <w:contextualSpacing w:val="0"/>
        <w:jc w:val="both"/>
        <w:rPr>
          <w:rFonts w:eastAsia="Times New Roman" w:cstheme="minorHAnsi"/>
          <w:lang w:val="es-AR"/>
        </w:rPr>
      </w:pPr>
      <w:r>
        <w:rPr>
          <w:rFonts w:eastAsia="Times New Roman" w:cstheme="minorHAnsi"/>
          <w:lang w:val="es-AR"/>
        </w:rPr>
        <w:t xml:space="preserve">Incrementar la formación </w:t>
      </w:r>
      <w:r w:rsidRPr="003F612F">
        <w:rPr>
          <w:rFonts w:eastAsia="Times New Roman" w:cstheme="minorHAnsi"/>
          <w:lang w:val="es-AR"/>
        </w:rPr>
        <w:t>del personal de los transportes públicos</w:t>
      </w:r>
      <w:r>
        <w:rPr>
          <w:rFonts w:eastAsia="Times New Roman" w:cstheme="minorHAnsi"/>
          <w:lang w:val="es-AR"/>
        </w:rPr>
        <w:t xml:space="preserve"> sobre </w:t>
      </w:r>
      <w:r w:rsidRPr="003F612F">
        <w:rPr>
          <w:rFonts w:eastAsia="Times New Roman" w:cstheme="minorHAnsi"/>
          <w:lang w:val="es-AR"/>
        </w:rPr>
        <w:t xml:space="preserve">modelo social </w:t>
      </w:r>
      <w:r>
        <w:rPr>
          <w:rFonts w:eastAsia="Times New Roman" w:cstheme="minorHAnsi"/>
          <w:lang w:val="es-AR"/>
        </w:rPr>
        <w:t>y</w:t>
      </w:r>
      <w:r w:rsidRPr="003F612F">
        <w:rPr>
          <w:rFonts w:eastAsia="Times New Roman" w:cstheme="minorHAnsi"/>
          <w:lang w:val="es-AR"/>
        </w:rPr>
        <w:t xml:space="preserve"> medidas de seguridad establecidas para las PCD</w:t>
      </w:r>
      <w:r>
        <w:rPr>
          <w:rFonts w:eastAsia="Times New Roman" w:cstheme="minorHAnsi"/>
          <w:lang w:val="es-AR"/>
        </w:rPr>
        <w:t>.</w:t>
      </w:r>
    </w:p>
    <w:p w14:paraId="27E247E3" w14:textId="4CDA14AD" w:rsidR="005133D5" w:rsidRPr="003F612F" w:rsidRDefault="005133D5" w:rsidP="00762BF9">
      <w:pPr>
        <w:pStyle w:val="Prrafodelista"/>
        <w:numPr>
          <w:ilvl w:val="0"/>
          <w:numId w:val="12"/>
        </w:numPr>
        <w:spacing w:after="240" w:line="276" w:lineRule="auto"/>
        <w:ind w:left="714" w:hanging="357"/>
        <w:contextualSpacing w:val="0"/>
        <w:jc w:val="both"/>
        <w:rPr>
          <w:rFonts w:eastAsia="Times New Roman" w:cstheme="minorHAnsi"/>
          <w:lang w:val="es-AR"/>
        </w:rPr>
      </w:pPr>
      <w:r>
        <w:rPr>
          <w:rFonts w:eastAsia="Times New Roman" w:cstheme="minorHAnsi"/>
          <w:lang w:val="es-AR"/>
        </w:rPr>
        <w:t xml:space="preserve">Dar cumplimiento </w:t>
      </w:r>
      <w:r w:rsidRPr="003F612F">
        <w:rPr>
          <w:rFonts w:eastAsia="Times New Roman" w:cstheme="minorHAnsi"/>
          <w:lang w:val="es-AR"/>
        </w:rPr>
        <w:t>a</w:t>
      </w:r>
      <w:r>
        <w:rPr>
          <w:rFonts w:eastAsia="Times New Roman" w:cstheme="minorHAnsi"/>
          <w:lang w:val="es-AR"/>
        </w:rPr>
        <w:t xml:space="preserve"> la sentencia que exige la inclusión de </w:t>
      </w:r>
      <w:r w:rsidRPr="003F612F">
        <w:rPr>
          <w:rFonts w:eastAsia="Times New Roman" w:cstheme="minorHAnsi"/>
          <w:lang w:val="es-AR"/>
        </w:rPr>
        <w:t>las PCD en el Sistema Único de Boleto Electrónico</w:t>
      </w:r>
      <w:r w:rsidR="009279D6">
        <w:rPr>
          <w:rFonts w:eastAsia="Times New Roman" w:cstheme="minorHAnsi"/>
          <w:lang w:val="es-AR"/>
        </w:rPr>
        <w:t xml:space="preserve"> y promover la implementación de medidas similares en las distintas provincias. </w:t>
      </w:r>
    </w:p>
    <w:tbl>
      <w:tblPr>
        <w:tblStyle w:val="Tablaconcuadrcula"/>
        <w:tblW w:w="0" w:type="auto"/>
        <w:tblLook w:val="04A0" w:firstRow="1" w:lastRow="0" w:firstColumn="1" w:lastColumn="0" w:noHBand="0" w:noVBand="1"/>
      </w:tblPr>
      <w:tblGrid>
        <w:gridCol w:w="9736"/>
      </w:tblGrid>
      <w:tr w:rsidR="00E413A2" w:rsidRPr="003F612F" w14:paraId="02484023" w14:textId="77777777" w:rsidTr="00855A69">
        <w:tc>
          <w:tcPr>
            <w:tcW w:w="9736" w:type="dxa"/>
            <w:shd w:val="clear" w:color="auto" w:fill="D5DCE4" w:themeFill="text2" w:themeFillTint="33"/>
          </w:tcPr>
          <w:p w14:paraId="77D35A9D" w14:textId="0F9AE38D" w:rsidR="00E413A2" w:rsidRPr="00026B0A" w:rsidRDefault="00E413A2"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25" w:name="_Toc124881447"/>
            <w:r w:rsidRPr="00026B0A">
              <w:rPr>
                <w:rFonts w:asciiTheme="minorHAnsi" w:eastAsia="Times New Roman" w:hAnsiTheme="minorHAnsi" w:cstheme="minorHAnsi"/>
                <w:b/>
                <w:bCs/>
                <w:color w:val="auto"/>
                <w:sz w:val="24"/>
                <w:szCs w:val="24"/>
                <w:lang w:val="es-AR"/>
              </w:rPr>
              <w:t>Artículo 21: Libertad de expresión</w:t>
            </w:r>
            <w:r w:rsidR="00751C62">
              <w:rPr>
                <w:rFonts w:asciiTheme="minorHAnsi" w:eastAsia="Times New Roman" w:hAnsiTheme="minorHAnsi" w:cstheme="minorHAnsi"/>
                <w:b/>
                <w:bCs/>
                <w:color w:val="auto"/>
                <w:sz w:val="24"/>
                <w:szCs w:val="24"/>
                <w:lang w:val="es-AR"/>
              </w:rPr>
              <w:t xml:space="preserve"> y de opinión</w:t>
            </w:r>
            <w:r w:rsidRPr="00026B0A">
              <w:rPr>
                <w:rFonts w:asciiTheme="minorHAnsi" w:eastAsia="Times New Roman" w:hAnsiTheme="minorHAnsi" w:cstheme="minorHAnsi"/>
                <w:b/>
                <w:bCs/>
                <w:color w:val="auto"/>
                <w:sz w:val="24"/>
                <w:szCs w:val="24"/>
                <w:lang w:val="es-AR"/>
              </w:rPr>
              <w:t xml:space="preserve"> y acceso a la información</w:t>
            </w:r>
            <w:bookmarkEnd w:id="25"/>
          </w:p>
        </w:tc>
      </w:tr>
    </w:tbl>
    <w:p w14:paraId="3B4C50D8" w14:textId="5355DC12" w:rsidR="00810F4E" w:rsidRDefault="005E006D" w:rsidP="00762BF9">
      <w:pPr>
        <w:spacing w:before="240"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A pesar de la vigencia de la L</w:t>
      </w:r>
      <w:r w:rsidR="00E413A2" w:rsidRPr="003F612F">
        <w:rPr>
          <w:rFonts w:eastAsia="Times New Roman" w:cstheme="minorHAnsi"/>
          <w:color w:val="000000"/>
          <w:lang w:val="es-AR" w:eastAsia="en-GB"/>
        </w:rPr>
        <w:t>ey de Servicios de Comunicación Audiovisual</w:t>
      </w:r>
      <w:r w:rsidRPr="003F612F">
        <w:rPr>
          <w:rFonts w:eastAsia="Times New Roman" w:cstheme="minorHAnsi"/>
          <w:color w:val="000000"/>
          <w:lang w:val="es-AR" w:eastAsia="en-GB"/>
        </w:rPr>
        <w:t xml:space="preserve">, la cual </w:t>
      </w:r>
      <w:r w:rsidR="00E413A2" w:rsidRPr="003F612F">
        <w:rPr>
          <w:rFonts w:eastAsia="Times New Roman" w:cstheme="minorHAnsi"/>
          <w:color w:val="000000"/>
          <w:lang w:val="es-AR" w:eastAsia="en-GB"/>
        </w:rPr>
        <w:t>establece la obligación de emitir contenidos con recursos de accesibilidad</w:t>
      </w:r>
      <w:r w:rsidRPr="003F612F">
        <w:rPr>
          <w:rStyle w:val="Refdenotaalpie"/>
          <w:rFonts w:eastAsia="Times New Roman" w:cstheme="minorHAnsi"/>
          <w:color w:val="000000"/>
          <w:lang w:val="es-AR" w:eastAsia="en-GB"/>
        </w:rPr>
        <w:footnoteReference w:id="73"/>
      </w:r>
      <w:r w:rsidRPr="003F612F">
        <w:rPr>
          <w:rFonts w:eastAsia="Times New Roman" w:cstheme="minorHAnsi"/>
          <w:color w:val="000000"/>
          <w:lang w:val="es-AR" w:eastAsia="en-GB"/>
        </w:rPr>
        <w:t>,</w:t>
      </w:r>
      <w:r w:rsidR="00810F4E" w:rsidRPr="00810F4E">
        <w:rPr>
          <w:rFonts w:eastAsia="Times New Roman" w:cstheme="minorHAnsi"/>
          <w:color w:val="000000"/>
          <w:lang w:val="es-AR" w:eastAsia="en-GB"/>
        </w:rPr>
        <w:t xml:space="preserve"> </w:t>
      </w:r>
      <w:r w:rsidR="00810F4E">
        <w:rPr>
          <w:rFonts w:eastAsia="Times New Roman" w:cstheme="minorHAnsi"/>
          <w:color w:val="000000"/>
          <w:lang w:val="es-AR" w:eastAsia="en-GB"/>
        </w:rPr>
        <w:t xml:space="preserve">a la fecha </w:t>
      </w:r>
      <w:r w:rsidR="00810F4E" w:rsidRPr="003F612F">
        <w:rPr>
          <w:rFonts w:eastAsia="Times New Roman" w:cstheme="minorHAnsi"/>
          <w:color w:val="000000"/>
          <w:lang w:val="es-AR" w:eastAsia="en-GB"/>
        </w:rPr>
        <w:t xml:space="preserve">los canales de </w:t>
      </w:r>
      <w:r w:rsidR="00810F4E">
        <w:rPr>
          <w:rFonts w:eastAsia="Times New Roman" w:cstheme="minorHAnsi"/>
          <w:color w:val="000000"/>
          <w:lang w:val="es-AR" w:eastAsia="en-GB"/>
        </w:rPr>
        <w:t xml:space="preserve">televisión </w:t>
      </w:r>
      <w:r w:rsidR="00810F4E" w:rsidRPr="003F612F">
        <w:rPr>
          <w:rFonts w:eastAsia="Times New Roman" w:cstheme="minorHAnsi"/>
          <w:color w:val="000000"/>
          <w:lang w:val="es-AR" w:eastAsia="en-GB"/>
        </w:rPr>
        <w:t xml:space="preserve">no incorporan subtitulado oculto, lengua de señas, </w:t>
      </w:r>
      <w:proofErr w:type="spellStart"/>
      <w:r w:rsidR="00810F4E" w:rsidRPr="003F612F">
        <w:rPr>
          <w:rFonts w:eastAsia="Times New Roman" w:cstheme="minorHAnsi"/>
          <w:color w:val="000000"/>
          <w:lang w:val="es-AR" w:eastAsia="en-GB"/>
        </w:rPr>
        <w:t>audiodescripción</w:t>
      </w:r>
      <w:proofErr w:type="spellEnd"/>
      <w:r w:rsidR="00810F4E" w:rsidRPr="003F612F">
        <w:rPr>
          <w:rFonts w:eastAsia="Times New Roman" w:cstheme="minorHAnsi"/>
          <w:color w:val="000000"/>
          <w:lang w:val="es-AR" w:eastAsia="en-GB"/>
        </w:rPr>
        <w:t xml:space="preserve"> para personas ciegas</w:t>
      </w:r>
      <w:r w:rsidR="00AA68F0">
        <w:rPr>
          <w:rFonts w:eastAsia="Times New Roman" w:cstheme="minorHAnsi"/>
          <w:color w:val="000000"/>
          <w:lang w:val="es-AR" w:eastAsia="en-GB"/>
        </w:rPr>
        <w:t>,</w:t>
      </w:r>
      <w:r w:rsidR="00810F4E" w:rsidRPr="003F612F">
        <w:rPr>
          <w:rFonts w:eastAsia="Times New Roman" w:cstheme="minorHAnsi"/>
          <w:color w:val="000000"/>
          <w:lang w:val="es-AR" w:eastAsia="en-GB"/>
        </w:rPr>
        <w:t xml:space="preserve"> ni para </w:t>
      </w:r>
      <w:r w:rsidR="00AA68F0">
        <w:rPr>
          <w:rFonts w:eastAsia="Times New Roman" w:cstheme="minorHAnsi"/>
          <w:color w:val="000000"/>
          <w:lang w:val="es-AR" w:eastAsia="en-GB"/>
        </w:rPr>
        <w:t>PCD</w:t>
      </w:r>
      <w:r w:rsidR="00810F4E" w:rsidRPr="003F612F">
        <w:rPr>
          <w:rFonts w:eastAsia="Times New Roman" w:cstheme="minorHAnsi"/>
          <w:color w:val="000000"/>
          <w:lang w:val="es-AR" w:eastAsia="en-GB"/>
        </w:rPr>
        <w:t xml:space="preserve"> intelectual en la cantidad de horas establecidas por la reglamentación de la Ley</w:t>
      </w:r>
      <w:r w:rsidR="00AA68F0">
        <w:rPr>
          <w:rStyle w:val="Refdenotaalpie"/>
          <w:rFonts w:eastAsia="Times New Roman" w:cstheme="minorHAnsi"/>
          <w:color w:val="000000"/>
          <w:lang w:val="es-AR" w:eastAsia="en-GB"/>
        </w:rPr>
        <w:footnoteReference w:id="74"/>
      </w:r>
      <w:r w:rsidR="00810F4E" w:rsidRPr="003F612F">
        <w:rPr>
          <w:rFonts w:eastAsia="Times New Roman" w:cstheme="minorHAnsi"/>
          <w:color w:val="000000"/>
          <w:lang w:val="es-AR" w:eastAsia="en-GB"/>
        </w:rPr>
        <w:t xml:space="preserve">. </w:t>
      </w:r>
      <w:r w:rsidR="00AA68F0">
        <w:rPr>
          <w:rFonts w:eastAsia="Times New Roman" w:cstheme="minorHAnsi"/>
          <w:color w:val="000000"/>
          <w:lang w:val="es-AR" w:eastAsia="en-GB"/>
        </w:rPr>
        <w:t>L</w:t>
      </w:r>
      <w:r w:rsidR="00810F4E" w:rsidRPr="003F612F">
        <w:rPr>
          <w:rFonts w:eastAsia="Times New Roman" w:cstheme="minorHAnsi"/>
          <w:color w:val="000000"/>
          <w:lang w:val="es-AR" w:eastAsia="en-GB"/>
        </w:rPr>
        <w:t xml:space="preserve">a </w:t>
      </w:r>
      <w:r w:rsidR="00810F4E">
        <w:rPr>
          <w:rFonts w:eastAsia="Times New Roman" w:cstheme="minorHAnsi"/>
          <w:color w:val="000000"/>
          <w:lang w:val="es-AR" w:eastAsia="en-GB"/>
        </w:rPr>
        <w:t>televisión</w:t>
      </w:r>
      <w:r w:rsidR="00810F4E" w:rsidRPr="003F612F">
        <w:rPr>
          <w:rFonts w:eastAsia="Times New Roman" w:cstheme="minorHAnsi"/>
          <w:color w:val="000000"/>
          <w:lang w:val="es-AR" w:eastAsia="en-GB"/>
        </w:rPr>
        <w:t xml:space="preserve"> pública </w:t>
      </w:r>
      <w:r w:rsidR="00AA68F0">
        <w:rPr>
          <w:rFonts w:eastAsia="Times New Roman" w:cstheme="minorHAnsi"/>
          <w:color w:val="000000"/>
          <w:lang w:val="es-AR" w:eastAsia="en-GB"/>
        </w:rPr>
        <w:t xml:space="preserve">no </w:t>
      </w:r>
      <w:r w:rsidR="00810F4E" w:rsidRPr="003F612F">
        <w:rPr>
          <w:rFonts w:eastAsia="Times New Roman" w:cstheme="minorHAnsi"/>
          <w:color w:val="000000"/>
          <w:lang w:val="es-AR" w:eastAsia="en-GB"/>
        </w:rPr>
        <w:t>incorpora estos recursos. Tampoco se establece desde el Estado un mecanismo de verificación de calidad de estos servicios.</w:t>
      </w:r>
    </w:p>
    <w:p w14:paraId="32899DC0" w14:textId="1FE88E1C" w:rsidR="00E413A2" w:rsidRPr="003F612F" w:rsidRDefault="00810F4E" w:rsidP="00AA68F0">
      <w:pPr>
        <w:spacing w:before="240" w:after="240" w:line="276" w:lineRule="auto"/>
        <w:ind w:firstLine="720"/>
        <w:jc w:val="both"/>
        <w:rPr>
          <w:rFonts w:eastAsia="Times New Roman" w:cstheme="minorHAnsi"/>
          <w:color w:val="000000"/>
          <w:lang w:val="es-AR" w:eastAsia="en-GB"/>
        </w:rPr>
      </w:pPr>
      <w:r>
        <w:rPr>
          <w:rFonts w:eastAsia="Times New Roman" w:cstheme="minorHAnsi"/>
          <w:color w:val="000000"/>
          <w:lang w:val="es-AR" w:eastAsia="en-GB"/>
        </w:rPr>
        <w:t xml:space="preserve">Aunado a ello, </w:t>
      </w:r>
      <w:r w:rsidR="005E006D" w:rsidRPr="003F612F">
        <w:rPr>
          <w:rFonts w:eastAsia="Times New Roman" w:cstheme="minorHAnsi"/>
          <w:color w:val="000000"/>
          <w:lang w:val="es-AR" w:eastAsia="en-GB"/>
        </w:rPr>
        <w:t xml:space="preserve">varios </w:t>
      </w:r>
      <w:r w:rsidR="00E413A2" w:rsidRPr="003F612F">
        <w:rPr>
          <w:rFonts w:eastAsia="Times New Roman" w:cstheme="minorHAnsi"/>
          <w:color w:val="000000"/>
          <w:lang w:val="es-AR" w:eastAsia="en-GB"/>
        </w:rPr>
        <w:t xml:space="preserve">de los mensajes </w:t>
      </w:r>
      <w:r w:rsidR="005E006D" w:rsidRPr="003F612F">
        <w:rPr>
          <w:rFonts w:eastAsia="Times New Roman" w:cstheme="minorHAnsi"/>
          <w:color w:val="000000"/>
          <w:lang w:val="es-AR" w:eastAsia="en-GB"/>
        </w:rPr>
        <w:t xml:space="preserve">oficiales </w:t>
      </w:r>
      <w:r w:rsidR="00E413A2" w:rsidRPr="003F612F">
        <w:rPr>
          <w:rFonts w:eastAsia="Times New Roman" w:cstheme="minorHAnsi"/>
          <w:color w:val="000000"/>
          <w:lang w:val="es-AR" w:eastAsia="en-GB"/>
        </w:rPr>
        <w:t>del Presidente de la Nación emitidos por cadena nacional</w:t>
      </w:r>
      <w:r w:rsidR="005E006D" w:rsidRPr="003F612F">
        <w:rPr>
          <w:rFonts w:eastAsia="Times New Roman" w:cstheme="minorHAnsi"/>
          <w:color w:val="000000"/>
          <w:lang w:val="es-AR" w:eastAsia="en-GB"/>
        </w:rPr>
        <w:t xml:space="preserve"> para difundir las medidas adoptadas respecto de la pandemia, </w:t>
      </w:r>
      <w:r w:rsidR="00E413A2" w:rsidRPr="003F612F">
        <w:rPr>
          <w:rFonts w:eastAsia="Times New Roman" w:cstheme="minorHAnsi"/>
          <w:color w:val="000000"/>
          <w:lang w:val="es-AR" w:eastAsia="en-GB"/>
        </w:rPr>
        <w:t xml:space="preserve">no contaron con subtítulos ni con interpretación en lengua de señas, mientras que en otros casos los intérpretes eran tapados por placas informativas de los canales que transmitían el discurso. Esto impidió que muchas personas sordas </w:t>
      </w:r>
      <w:r w:rsidR="005E006D" w:rsidRPr="003F612F">
        <w:rPr>
          <w:rFonts w:eastAsia="Times New Roman" w:cstheme="minorHAnsi"/>
          <w:color w:val="000000"/>
          <w:lang w:val="es-AR" w:eastAsia="en-GB"/>
        </w:rPr>
        <w:t>conocieran</w:t>
      </w:r>
      <w:r w:rsidR="00E413A2" w:rsidRPr="003F612F">
        <w:rPr>
          <w:rFonts w:eastAsia="Times New Roman" w:cstheme="minorHAnsi"/>
          <w:color w:val="000000"/>
          <w:lang w:val="es-AR" w:eastAsia="en-GB"/>
        </w:rPr>
        <w:t xml:space="preserve"> la situación epidemiológica y las medidas dispuestas por el gobierno. Aunado a ello, spots televisivos </w:t>
      </w:r>
      <w:r w:rsidR="005E006D" w:rsidRPr="003F612F">
        <w:rPr>
          <w:rFonts w:eastAsia="Times New Roman" w:cstheme="minorHAnsi"/>
          <w:color w:val="000000"/>
          <w:lang w:val="es-AR" w:eastAsia="en-GB"/>
        </w:rPr>
        <w:t>oficiales que</w:t>
      </w:r>
      <w:r w:rsidR="00E413A2" w:rsidRPr="003F612F">
        <w:rPr>
          <w:rFonts w:eastAsia="Times New Roman" w:cstheme="minorHAnsi"/>
          <w:color w:val="000000"/>
          <w:lang w:val="es-AR" w:eastAsia="en-GB"/>
        </w:rPr>
        <w:t xml:space="preserve"> brindaban información sobre</w:t>
      </w:r>
      <w:r w:rsidR="005E006D" w:rsidRPr="003F612F">
        <w:rPr>
          <w:rFonts w:eastAsia="Times New Roman" w:cstheme="minorHAnsi"/>
          <w:color w:val="000000"/>
          <w:lang w:val="es-AR" w:eastAsia="en-GB"/>
        </w:rPr>
        <w:t xml:space="preserve"> </w:t>
      </w:r>
      <w:r w:rsidR="00E413A2" w:rsidRPr="003F612F">
        <w:rPr>
          <w:rFonts w:eastAsia="Times New Roman" w:cstheme="minorHAnsi"/>
          <w:color w:val="000000"/>
          <w:lang w:val="es-AR" w:eastAsia="en-GB"/>
        </w:rPr>
        <w:t xml:space="preserve">la línea telefónica de atención a mujeres en situación de violencia y sobre la campaña de vacunación </w:t>
      </w:r>
      <w:r w:rsidR="005E006D" w:rsidRPr="003F612F">
        <w:rPr>
          <w:rFonts w:eastAsia="Times New Roman" w:cstheme="minorHAnsi"/>
          <w:color w:val="000000"/>
          <w:lang w:val="es-AR" w:eastAsia="en-GB"/>
        </w:rPr>
        <w:t xml:space="preserve">no eran accesibles para </w:t>
      </w:r>
      <w:r w:rsidR="008A5AE0" w:rsidRPr="003F612F">
        <w:rPr>
          <w:rFonts w:eastAsia="Times New Roman" w:cstheme="minorHAnsi"/>
          <w:color w:val="000000"/>
          <w:lang w:val="es-AR" w:eastAsia="en-GB"/>
        </w:rPr>
        <w:t>PCD</w:t>
      </w:r>
      <w:r w:rsidR="00E413A2" w:rsidRPr="003F612F">
        <w:rPr>
          <w:rFonts w:eastAsia="Times New Roman" w:cstheme="minorHAnsi"/>
          <w:color w:val="000000"/>
          <w:lang w:val="es-AR" w:eastAsia="en-GB"/>
        </w:rPr>
        <w:t xml:space="preserve"> visual</w:t>
      </w:r>
      <w:r w:rsidR="00297E1B" w:rsidRPr="003F612F">
        <w:rPr>
          <w:rFonts w:eastAsia="Times New Roman" w:cstheme="minorHAnsi"/>
          <w:color w:val="000000"/>
          <w:lang w:val="es-AR" w:eastAsia="en-GB"/>
        </w:rPr>
        <w:t>, auditiva e intelectual</w:t>
      </w:r>
      <w:r w:rsidR="00E413A2" w:rsidRPr="003F612F">
        <w:rPr>
          <w:rFonts w:eastAsia="Times New Roman" w:cstheme="minorHAnsi"/>
          <w:color w:val="000000"/>
          <w:lang w:val="es-AR" w:eastAsia="en-GB"/>
        </w:rPr>
        <w:t>.</w:t>
      </w:r>
    </w:p>
    <w:p w14:paraId="679E747B" w14:textId="0446FD77" w:rsidR="00E413A2" w:rsidRPr="003F612F" w:rsidRDefault="001D5824" w:rsidP="00762BF9">
      <w:pPr>
        <w:spacing w:after="240" w:line="276" w:lineRule="auto"/>
        <w:ind w:firstLine="720"/>
        <w:jc w:val="both"/>
        <w:rPr>
          <w:rStyle w:val="Hipervnculo"/>
          <w:rFonts w:eastAsia="Times New Roman" w:cstheme="minorHAnsi"/>
          <w:lang w:val="es-AR"/>
        </w:rPr>
      </w:pPr>
      <w:r w:rsidRPr="003F612F">
        <w:rPr>
          <w:rFonts w:eastAsia="Times New Roman" w:cstheme="minorHAnsi"/>
          <w:color w:val="000000"/>
          <w:lang w:val="es-AR" w:eastAsia="en-GB"/>
        </w:rPr>
        <w:t>E</w:t>
      </w:r>
      <w:r>
        <w:rPr>
          <w:rFonts w:eastAsia="Times New Roman" w:cstheme="minorHAnsi"/>
          <w:color w:val="000000"/>
          <w:lang w:val="es-AR" w:eastAsia="en-GB"/>
        </w:rPr>
        <w:t>l</w:t>
      </w:r>
      <w:r w:rsidRPr="003F612F">
        <w:rPr>
          <w:rFonts w:eastAsia="Times New Roman" w:cstheme="minorHAnsi"/>
          <w:color w:val="000000"/>
          <w:lang w:val="es-AR" w:eastAsia="en-GB"/>
        </w:rPr>
        <w:t xml:space="preserve"> papel moneda </w:t>
      </w:r>
      <w:r>
        <w:rPr>
          <w:rFonts w:eastAsia="Times New Roman" w:cstheme="minorHAnsi"/>
          <w:color w:val="000000"/>
          <w:lang w:val="es-AR" w:eastAsia="en-GB"/>
        </w:rPr>
        <w:t>en la Argentina continúa teniendo un formato inaccesible</w:t>
      </w:r>
      <w:r w:rsidR="00AA68F0">
        <w:rPr>
          <w:rStyle w:val="Refdenotaalpie"/>
          <w:rFonts w:eastAsia="Times New Roman" w:cstheme="minorHAnsi"/>
          <w:color w:val="000000"/>
          <w:lang w:val="es-AR" w:eastAsia="en-GB"/>
        </w:rPr>
        <w:footnoteReference w:id="75"/>
      </w:r>
      <w:r>
        <w:rPr>
          <w:rFonts w:eastAsia="Times New Roman" w:cstheme="minorHAnsi"/>
          <w:color w:val="000000"/>
          <w:lang w:val="es-AR" w:eastAsia="en-GB"/>
        </w:rPr>
        <w:t xml:space="preserve">. </w:t>
      </w:r>
      <w:r w:rsidR="00D3760C" w:rsidRPr="003F612F">
        <w:rPr>
          <w:rFonts w:eastAsia="Times New Roman" w:cstheme="minorHAnsi"/>
          <w:color w:val="000000"/>
          <w:lang w:val="es-AR" w:eastAsia="en-GB"/>
        </w:rPr>
        <w:t xml:space="preserve">Las organizaciones </w:t>
      </w:r>
      <w:r w:rsidR="00850BA1" w:rsidRPr="003F612F">
        <w:rPr>
          <w:rFonts w:eastAsia="Times New Roman" w:cstheme="minorHAnsi"/>
          <w:color w:val="000000"/>
          <w:lang w:val="es-AR" w:eastAsia="en-GB"/>
        </w:rPr>
        <w:t>FAICA y REDI</w:t>
      </w:r>
      <w:r w:rsidR="00BC6426" w:rsidRPr="003F612F">
        <w:rPr>
          <w:rFonts w:eastAsia="Times New Roman" w:cstheme="minorHAnsi"/>
          <w:color w:val="000000"/>
          <w:lang w:val="es-AR" w:eastAsia="en-GB"/>
        </w:rPr>
        <w:t xml:space="preserve"> </w:t>
      </w:r>
      <w:r w:rsidR="00850BA1" w:rsidRPr="003F612F">
        <w:rPr>
          <w:rFonts w:eastAsia="Times New Roman" w:cstheme="minorHAnsi"/>
          <w:color w:val="000000"/>
          <w:lang w:val="es-AR" w:eastAsia="en-GB"/>
        </w:rPr>
        <w:t>presentaron</w:t>
      </w:r>
      <w:r w:rsidR="00BC6426" w:rsidRPr="003F612F">
        <w:rPr>
          <w:rFonts w:eastAsia="Times New Roman" w:cstheme="minorHAnsi"/>
          <w:color w:val="000000"/>
          <w:lang w:val="es-AR" w:eastAsia="en-GB"/>
        </w:rPr>
        <w:t xml:space="preserve"> una demanda colectiva para </w:t>
      </w:r>
      <w:r w:rsidR="00B834DB">
        <w:rPr>
          <w:rFonts w:eastAsia="Times New Roman" w:cstheme="minorHAnsi"/>
          <w:color w:val="000000"/>
          <w:lang w:val="es-AR" w:eastAsia="en-GB"/>
        </w:rPr>
        <w:t>que se</w:t>
      </w:r>
      <w:r w:rsidR="00BC6426" w:rsidRPr="003F612F">
        <w:rPr>
          <w:rFonts w:eastAsia="Times New Roman" w:cstheme="minorHAnsi"/>
          <w:color w:val="000000"/>
          <w:lang w:val="es-AR" w:eastAsia="en-GB"/>
        </w:rPr>
        <w:t xml:space="preserve"> incorpore</w:t>
      </w:r>
      <w:r w:rsidR="00B834DB">
        <w:rPr>
          <w:rFonts w:eastAsia="Times New Roman" w:cstheme="minorHAnsi"/>
          <w:color w:val="000000"/>
          <w:lang w:val="es-AR" w:eastAsia="en-GB"/>
        </w:rPr>
        <w:t>n</w:t>
      </w:r>
      <w:r w:rsidR="00BC6426" w:rsidRPr="003F612F">
        <w:rPr>
          <w:rFonts w:eastAsia="Times New Roman" w:cstheme="minorHAnsi"/>
          <w:color w:val="000000"/>
          <w:lang w:val="es-AR" w:eastAsia="en-GB"/>
        </w:rPr>
        <w:t xml:space="preserve"> diseños que permitan a las PCD visual distinguirlos en forma autónom</w:t>
      </w:r>
      <w:r w:rsidR="00D3760C" w:rsidRPr="003F612F">
        <w:rPr>
          <w:rFonts w:eastAsia="Times New Roman" w:cstheme="minorHAnsi"/>
          <w:color w:val="000000"/>
          <w:lang w:val="es-AR" w:eastAsia="en-GB"/>
        </w:rPr>
        <w:t>a</w:t>
      </w:r>
      <w:r w:rsidR="00BC6426" w:rsidRPr="003F612F">
        <w:rPr>
          <w:rFonts w:eastAsia="Times New Roman" w:cstheme="minorHAnsi"/>
          <w:color w:val="000000"/>
          <w:lang w:val="es-AR" w:eastAsia="en-GB"/>
        </w:rPr>
        <w:t>. El Banco Central y la Casa de la Moneda respondieron negativamente</w:t>
      </w:r>
      <w:r w:rsidR="00BC6426" w:rsidRPr="003F612F">
        <w:rPr>
          <w:rStyle w:val="Refdenotaalpie"/>
          <w:rFonts w:eastAsia="Times New Roman" w:cstheme="minorHAnsi"/>
          <w:color w:val="000000"/>
          <w:lang w:val="es-AR" w:eastAsia="en-GB"/>
        </w:rPr>
        <w:footnoteReference w:id="76"/>
      </w:r>
      <w:r w:rsidR="00DB4559" w:rsidRPr="003F612F">
        <w:rPr>
          <w:rFonts w:eastAsia="Times New Roman" w:cstheme="minorHAnsi"/>
          <w:color w:val="000000"/>
          <w:lang w:val="es-AR" w:eastAsia="en-GB"/>
        </w:rPr>
        <w:t>.</w:t>
      </w:r>
      <w:r w:rsidR="00BC6426" w:rsidRPr="003F612F">
        <w:rPr>
          <w:rFonts w:eastAsia="Times New Roman" w:cstheme="minorHAnsi"/>
          <w:color w:val="000000"/>
          <w:lang w:val="es-AR" w:eastAsia="en-GB"/>
        </w:rPr>
        <w:t xml:space="preserve"> </w:t>
      </w:r>
      <w:r>
        <w:rPr>
          <w:rFonts w:eastAsia="Times New Roman" w:cstheme="minorHAnsi"/>
          <w:color w:val="000000"/>
          <w:lang w:val="es-AR" w:eastAsia="en-GB"/>
        </w:rPr>
        <w:t>Tampoco se efectúa control sobre las entidades financieras para dar cumplimiento a las normas de accesibil</w:t>
      </w:r>
      <w:r w:rsidR="0098648D">
        <w:rPr>
          <w:rFonts w:eastAsia="Times New Roman" w:cstheme="minorHAnsi"/>
          <w:color w:val="000000"/>
          <w:lang w:val="es-AR" w:eastAsia="en-GB"/>
        </w:rPr>
        <w:t>ida</w:t>
      </w:r>
      <w:r>
        <w:rPr>
          <w:rFonts w:eastAsia="Times New Roman" w:cstheme="minorHAnsi"/>
          <w:color w:val="000000"/>
          <w:lang w:val="es-AR" w:eastAsia="en-GB"/>
        </w:rPr>
        <w:t>d para PCD usuarias de servicios financieros</w:t>
      </w:r>
      <w:r w:rsidR="00106771">
        <w:rPr>
          <w:rStyle w:val="Refdenotaalpie"/>
          <w:rFonts w:eastAsia="Times New Roman" w:cstheme="minorHAnsi"/>
          <w:color w:val="000000"/>
          <w:lang w:val="es-AR" w:eastAsia="en-GB"/>
        </w:rPr>
        <w:footnoteReference w:id="77"/>
      </w:r>
      <w:r>
        <w:rPr>
          <w:rFonts w:eastAsia="Times New Roman" w:cstheme="minorHAnsi"/>
          <w:color w:val="000000"/>
          <w:lang w:val="es-AR" w:eastAsia="en-GB"/>
        </w:rPr>
        <w:t xml:space="preserve">, destacándose que continúan siendo inaccesibles muchos servicios de </w:t>
      </w:r>
      <w:proofErr w:type="spellStart"/>
      <w:r>
        <w:rPr>
          <w:rFonts w:eastAsia="Times New Roman" w:cstheme="minorHAnsi"/>
          <w:color w:val="000000"/>
          <w:lang w:val="es-AR" w:eastAsia="en-GB"/>
        </w:rPr>
        <w:t>homebanking</w:t>
      </w:r>
      <w:proofErr w:type="spellEnd"/>
      <w:r w:rsidR="0098648D">
        <w:rPr>
          <w:rFonts w:eastAsia="Times New Roman" w:cstheme="minorHAnsi"/>
          <w:color w:val="000000"/>
          <w:lang w:val="es-AR" w:eastAsia="en-GB"/>
        </w:rPr>
        <w:t>, entre ellos el del Banco de la Nación, principal banco público del país</w:t>
      </w:r>
      <w:r w:rsidR="00460AB8">
        <w:rPr>
          <w:rFonts w:eastAsia="Times New Roman" w:cstheme="minorHAnsi"/>
          <w:color w:val="000000"/>
          <w:lang w:val="es-AR" w:eastAsia="en-GB"/>
        </w:rPr>
        <w:t>,</w:t>
      </w:r>
      <w:r>
        <w:rPr>
          <w:rFonts w:eastAsia="Times New Roman" w:cstheme="minorHAnsi"/>
          <w:color w:val="000000"/>
          <w:lang w:val="es-AR" w:eastAsia="en-GB"/>
        </w:rPr>
        <w:t xml:space="preserve"> y </w:t>
      </w:r>
      <w:r w:rsidR="00460AB8">
        <w:rPr>
          <w:rFonts w:eastAsia="Times New Roman" w:cstheme="minorHAnsi"/>
          <w:color w:val="000000"/>
          <w:lang w:val="es-AR" w:eastAsia="en-GB"/>
        </w:rPr>
        <w:t xml:space="preserve">los </w:t>
      </w:r>
      <w:r>
        <w:rPr>
          <w:rFonts w:eastAsia="Times New Roman" w:cstheme="minorHAnsi"/>
          <w:color w:val="000000"/>
          <w:lang w:val="es-AR" w:eastAsia="en-GB"/>
        </w:rPr>
        <w:t>cajeros automáticos.</w:t>
      </w:r>
    </w:p>
    <w:p w14:paraId="44E777FD" w14:textId="50A26930" w:rsidR="00E413A2" w:rsidRPr="003F612F" w:rsidRDefault="006E0E00" w:rsidP="00762BF9">
      <w:pPr>
        <w:spacing w:after="240" w:line="276" w:lineRule="auto"/>
        <w:jc w:val="both"/>
        <w:rPr>
          <w:rFonts w:eastAsia="Times New Roman" w:cstheme="minorHAnsi"/>
          <w:b/>
          <w:bCs/>
          <w:i/>
          <w:iCs/>
          <w:u w:val="single"/>
          <w:lang w:val="es-AR"/>
        </w:rPr>
      </w:pPr>
      <w:r>
        <w:rPr>
          <w:rFonts w:eastAsia="Times New Roman" w:cstheme="minorHAnsi"/>
          <w:b/>
          <w:bCs/>
          <w:i/>
          <w:iCs/>
          <w:u w:val="single"/>
          <w:lang w:val="es-AR"/>
        </w:rPr>
        <w:lastRenderedPageBreak/>
        <w:t>Recomendaciones</w:t>
      </w:r>
      <w:r w:rsidRPr="003F612F">
        <w:rPr>
          <w:rFonts w:eastAsia="Times New Roman" w:cstheme="minorHAnsi"/>
          <w:b/>
          <w:bCs/>
          <w:i/>
          <w:iCs/>
          <w:u w:val="single"/>
          <w:lang w:val="es-AR"/>
        </w:rPr>
        <w:t xml:space="preserve"> </w:t>
      </w:r>
      <w:r w:rsidR="00E413A2" w:rsidRPr="003F612F">
        <w:rPr>
          <w:rFonts w:eastAsia="Times New Roman" w:cstheme="minorHAnsi"/>
          <w:b/>
          <w:bCs/>
          <w:i/>
          <w:iCs/>
          <w:u w:val="single"/>
          <w:lang w:val="es-AR"/>
        </w:rPr>
        <w:t>sugeridas al Estado:</w:t>
      </w:r>
    </w:p>
    <w:p w14:paraId="4B211EE9" w14:textId="7460A6D8" w:rsidR="00F634E5" w:rsidRPr="00B834DB" w:rsidRDefault="00F634E5" w:rsidP="00B834DB">
      <w:pPr>
        <w:pStyle w:val="Prrafodelista"/>
        <w:numPr>
          <w:ilvl w:val="0"/>
          <w:numId w:val="40"/>
        </w:numPr>
        <w:spacing w:after="240" w:line="276" w:lineRule="auto"/>
        <w:ind w:left="1071" w:hanging="357"/>
        <w:contextualSpacing w:val="0"/>
        <w:jc w:val="both"/>
        <w:rPr>
          <w:rFonts w:eastAsia="Times New Roman" w:cstheme="minorHAnsi"/>
          <w:lang w:val="es-AR"/>
        </w:rPr>
      </w:pPr>
      <w:r w:rsidRPr="00B834DB">
        <w:rPr>
          <w:rFonts w:eastAsia="Times New Roman" w:cstheme="minorHAnsi"/>
          <w:lang w:val="es-AR"/>
        </w:rPr>
        <w:t>Incrementar los mecanismos de accesibilidad en los canales públicos y las capacitaciones y recursos a canales privados para poder implementar estos mecanismos.</w:t>
      </w:r>
    </w:p>
    <w:p w14:paraId="50ABAC6E" w14:textId="50FBD065" w:rsidR="00F634E5" w:rsidRPr="00B834DB" w:rsidRDefault="00F634E5" w:rsidP="00B834DB">
      <w:pPr>
        <w:pStyle w:val="Prrafodelista"/>
        <w:numPr>
          <w:ilvl w:val="0"/>
          <w:numId w:val="40"/>
        </w:numPr>
        <w:spacing w:after="240" w:line="276" w:lineRule="auto"/>
        <w:ind w:left="1071" w:hanging="357"/>
        <w:contextualSpacing w:val="0"/>
        <w:jc w:val="both"/>
        <w:rPr>
          <w:rFonts w:eastAsia="Times New Roman" w:cstheme="minorHAnsi"/>
          <w:lang w:val="es-AR"/>
        </w:rPr>
      </w:pPr>
      <w:r w:rsidRPr="00B834DB">
        <w:rPr>
          <w:rFonts w:eastAsia="Times New Roman" w:cstheme="minorHAnsi"/>
          <w:lang w:val="es-AR"/>
        </w:rPr>
        <w:t>Garantizar intérpretes de lengua de señas debidamente capacitados e información accesible para personas con discapacidad intelectual</w:t>
      </w:r>
      <w:r w:rsidR="00B834DB">
        <w:rPr>
          <w:rFonts w:eastAsia="Times New Roman" w:cstheme="minorHAnsi"/>
          <w:lang w:val="es-AR"/>
        </w:rPr>
        <w:t xml:space="preserve"> </w:t>
      </w:r>
      <w:r w:rsidR="00B834DB" w:rsidRPr="00B834DB">
        <w:rPr>
          <w:rFonts w:eastAsia="Times New Roman" w:cstheme="minorHAnsi"/>
          <w:lang w:val="es-AR"/>
        </w:rPr>
        <w:t>en los distintos ámbitos de comunicación</w:t>
      </w:r>
      <w:r w:rsidR="00B834DB">
        <w:rPr>
          <w:rFonts w:eastAsia="Times New Roman" w:cstheme="minorHAnsi"/>
          <w:lang w:val="es-AR"/>
        </w:rPr>
        <w:t>.</w:t>
      </w:r>
    </w:p>
    <w:p w14:paraId="440A5B60" w14:textId="3FE3B755" w:rsidR="00297E1B" w:rsidRPr="00B834DB" w:rsidRDefault="00F634E5" w:rsidP="00B834DB">
      <w:pPr>
        <w:pStyle w:val="Prrafodelista"/>
        <w:numPr>
          <w:ilvl w:val="0"/>
          <w:numId w:val="40"/>
        </w:numPr>
        <w:spacing w:after="240" w:line="276" w:lineRule="auto"/>
        <w:ind w:left="1071" w:hanging="357"/>
        <w:contextualSpacing w:val="0"/>
        <w:jc w:val="both"/>
        <w:rPr>
          <w:rFonts w:eastAsia="Times New Roman" w:cstheme="minorHAnsi"/>
          <w:lang w:val="es-AR"/>
        </w:rPr>
      </w:pPr>
      <w:r w:rsidRPr="00B834DB">
        <w:rPr>
          <w:rFonts w:eastAsia="Times New Roman" w:cstheme="minorHAnsi"/>
          <w:lang w:val="es-AR"/>
        </w:rPr>
        <w:t xml:space="preserve">Exigir a las entidades </w:t>
      </w:r>
      <w:r w:rsidR="009279D6" w:rsidRPr="00B834DB">
        <w:rPr>
          <w:rFonts w:eastAsia="Times New Roman" w:cstheme="minorHAnsi"/>
          <w:lang w:val="es-AR"/>
        </w:rPr>
        <w:t>bancarias</w:t>
      </w:r>
      <w:r w:rsidR="00810F4E" w:rsidRPr="00B834DB">
        <w:rPr>
          <w:rFonts w:eastAsia="Times New Roman" w:cstheme="minorHAnsi"/>
          <w:lang w:val="es-AR"/>
        </w:rPr>
        <w:t xml:space="preserve"> el</w:t>
      </w:r>
      <w:r w:rsidRPr="00B834DB">
        <w:rPr>
          <w:rFonts w:eastAsia="Times New Roman" w:cstheme="minorHAnsi"/>
          <w:lang w:val="es-AR"/>
        </w:rPr>
        <w:t xml:space="preserve"> cumplimiento de la normativa de </w:t>
      </w:r>
      <w:r w:rsidR="00B834DB">
        <w:rPr>
          <w:rFonts w:eastAsia="Times New Roman" w:cstheme="minorHAnsi"/>
          <w:lang w:val="es-AR"/>
        </w:rPr>
        <w:t>p</w:t>
      </w:r>
      <w:r w:rsidRPr="00B834DB">
        <w:rPr>
          <w:rFonts w:eastAsia="Times New Roman" w:cstheme="minorHAnsi"/>
          <w:lang w:val="es-AR"/>
        </w:rPr>
        <w:t xml:space="preserve">rotección a usuarios de los servicios financieros del BCRA </w:t>
      </w:r>
      <w:r w:rsidR="00B834DB">
        <w:rPr>
          <w:rFonts w:eastAsia="Times New Roman" w:cstheme="minorHAnsi"/>
          <w:lang w:val="es-AR"/>
        </w:rPr>
        <w:t>para</w:t>
      </w:r>
      <w:r w:rsidRPr="00B834DB">
        <w:rPr>
          <w:rFonts w:eastAsia="Times New Roman" w:cstheme="minorHAnsi"/>
          <w:lang w:val="es-AR"/>
        </w:rPr>
        <w:t xml:space="preserve"> la inclusión financiera. </w:t>
      </w:r>
    </w:p>
    <w:tbl>
      <w:tblPr>
        <w:tblStyle w:val="Tablaconcuadrcula"/>
        <w:tblW w:w="0" w:type="auto"/>
        <w:tblLook w:val="04A0" w:firstRow="1" w:lastRow="0" w:firstColumn="1" w:lastColumn="0" w:noHBand="0" w:noVBand="1"/>
      </w:tblPr>
      <w:tblGrid>
        <w:gridCol w:w="9736"/>
      </w:tblGrid>
      <w:tr w:rsidR="005E7822" w:rsidRPr="003F612F" w14:paraId="69477E2F" w14:textId="77777777" w:rsidTr="005E7822">
        <w:tc>
          <w:tcPr>
            <w:tcW w:w="9736" w:type="dxa"/>
            <w:shd w:val="clear" w:color="auto" w:fill="D5DCE4" w:themeFill="text2" w:themeFillTint="33"/>
          </w:tcPr>
          <w:p w14:paraId="2D9286BB" w14:textId="0FF717E2" w:rsidR="005E7822" w:rsidRPr="00AF1E06" w:rsidRDefault="005E7822" w:rsidP="00762BF9">
            <w:pPr>
              <w:pStyle w:val="Ttulo2"/>
              <w:spacing w:line="276" w:lineRule="auto"/>
              <w:jc w:val="center"/>
              <w:outlineLvl w:val="1"/>
              <w:rPr>
                <w:rFonts w:asciiTheme="minorHAnsi" w:eastAsia="Times New Roman" w:hAnsiTheme="minorHAnsi" w:cstheme="minorHAnsi"/>
                <w:b/>
                <w:bCs/>
                <w:i/>
                <w:iCs/>
                <w:color w:val="auto"/>
                <w:sz w:val="24"/>
                <w:szCs w:val="24"/>
                <w:lang w:val="es-AR"/>
              </w:rPr>
            </w:pPr>
            <w:bookmarkStart w:id="26" w:name="_Toc124881448"/>
            <w:r w:rsidRPr="00AF1E06">
              <w:rPr>
                <w:rFonts w:asciiTheme="minorHAnsi" w:eastAsia="Times New Roman" w:hAnsiTheme="minorHAnsi" w:cstheme="minorHAnsi"/>
                <w:b/>
                <w:bCs/>
                <w:color w:val="auto"/>
                <w:sz w:val="24"/>
                <w:szCs w:val="24"/>
                <w:lang w:val="es-AR"/>
              </w:rPr>
              <w:t>Artículo 23: Respeto del hogar y de la familia</w:t>
            </w:r>
            <w:bookmarkEnd w:id="26"/>
          </w:p>
        </w:tc>
      </w:tr>
    </w:tbl>
    <w:p w14:paraId="78BB6F6C" w14:textId="780DCA40" w:rsidR="00B12DA5" w:rsidRPr="003F612F" w:rsidRDefault="00B12DA5" w:rsidP="00762BF9">
      <w:pPr>
        <w:spacing w:before="240" w:after="240" w:line="276" w:lineRule="auto"/>
        <w:ind w:firstLine="720"/>
        <w:jc w:val="both"/>
        <w:rPr>
          <w:rFonts w:cstheme="minorHAnsi"/>
          <w:iCs/>
          <w:lang w:val="es-AR"/>
        </w:rPr>
      </w:pPr>
      <w:r w:rsidRPr="003F612F">
        <w:rPr>
          <w:rFonts w:cstheme="minorHAnsi"/>
          <w:iCs/>
          <w:lang w:val="es-AR"/>
        </w:rPr>
        <w:t>En la sociedad argentina</w:t>
      </w:r>
      <w:r w:rsidR="00940520">
        <w:rPr>
          <w:rFonts w:cstheme="minorHAnsi"/>
          <w:iCs/>
          <w:lang w:val="es-AR"/>
        </w:rPr>
        <w:t xml:space="preserve"> hay un</w:t>
      </w:r>
      <w:r w:rsidRPr="003F612F">
        <w:rPr>
          <w:rFonts w:cstheme="minorHAnsi"/>
          <w:iCs/>
          <w:lang w:val="es-AR"/>
        </w:rPr>
        <w:t xml:space="preserve"> mandato social</w:t>
      </w:r>
      <w:r w:rsidR="00940520">
        <w:rPr>
          <w:rFonts w:cstheme="minorHAnsi"/>
          <w:iCs/>
          <w:lang w:val="es-AR"/>
        </w:rPr>
        <w:t xml:space="preserve"> de prohibición de la maternidad</w:t>
      </w:r>
      <w:r w:rsidRPr="003F612F">
        <w:rPr>
          <w:rFonts w:cstheme="minorHAnsi"/>
          <w:iCs/>
          <w:lang w:val="es-AR"/>
        </w:rPr>
        <w:t xml:space="preserve"> hacia las mujeres con discapacida</w:t>
      </w:r>
      <w:r w:rsidR="00940520">
        <w:rPr>
          <w:rFonts w:cstheme="minorHAnsi"/>
          <w:iCs/>
          <w:lang w:val="es-AR"/>
        </w:rPr>
        <w:t>d</w:t>
      </w:r>
      <w:r w:rsidRPr="003F612F">
        <w:rPr>
          <w:rFonts w:cstheme="minorHAnsi"/>
          <w:iCs/>
          <w:lang w:val="es-AR"/>
        </w:rPr>
        <w:t xml:space="preserve">.  </w:t>
      </w:r>
      <w:r w:rsidR="00940520">
        <w:rPr>
          <w:rFonts w:cstheme="minorHAnsi"/>
          <w:iCs/>
          <w:lang w:val="es-AR"/>
        </w:rPr>
        <w:t>Existen</w:t>
      </w:r>
      <w:r w:rsidRPr="003F612F">
        <w:rPr>
          <w:rFonts w:cstheme="minorHAnsi"/>
          <w:iCs/>
          <w:lang w:val="es-AR"/>
        </w:rPr>
        <w:t xml:space="preserve"> barreras </w:t>
      </w:r>
      <w:r w:rsidR="00940520">
        <w:rPr>
          <w:rFonts w:cstheme="minorHAnsi"/>
          <w:iCs/>
          <w:lang w:val="es-AR"/>
        </w:rPr>
        <w:t xml:space="preserve">en relación </w:t>
      </w:r>
      <w:r w:rsidRPr="003F612F">
        <w:rPr>
          <w:rFonts w:cstheme="minorHAnsi"/>
          <w:iCs/>
          <w:lang w:val="es-AR"/>
        </w:rPr>
        <w:t xml:space="preserve">con los apoyos necesarios para la concreción de embarazos deseados como para el ejercicio de la crianza de sus </w:t>
      </w:r>
      <w:proofErr w:type="spellStart"/>
      <w:r w:rsidRPr="003F612F">
        <w:rPr>
          <w:rFonts w:cstheme="minorHAnsi"/>
          <w:iCs/>
          <w:lang w:val="es-AR"/>
        </w:rPr>
        <w:t>hijes</w:t>
      </w:r>
      <w:proofErr w:type="spellEnd"/>
      <w:r w:rsidR="00940520">
        <w:rPr>
          <w:rFonts w:cstheme="minorHAnsi"/>
          <w:iCs/>
          <w:lang w:val="es-AR"/>
        </w:rPr>
        <w:t>,</w:t>
      </w:r>
      <w:r w:rsidRPr="003F612F">
        <w:rPr>
          <w:rFonts w:cstheme="minorHAnsi"/>
          <w:iCs/>
          <w:lang w:val="es-AR"/>
        </w:rPr>
        <w:t xml:space="preserve"> por lo que son privadas de su responsabilidad maternal por decisión judicial y sus hijas e hijos son a menudo institucionalizados</w:t>
      </w:r>
      <w:r w:rsidR="00940520">
        <w:rPr>
          <w:rFonts w:cstheme="minorHAnsi"/>
          <w:iCs/>
          <w:lang w:val="es-AR"/>
        </w:rPr>
        <w:t>.</w:t>
      </w:r>
    </w:p>
    <w:p w14:paraId="0E097660" w14:textId="1B96DC68" w:rsidR="00E413A2" w:rsidRPr="003F612F" w:rsidRDefault="00346CF6" w:rsidP="00762BF9">
      <w:pPr>
        <w:pStyle w:val="NormalWeb"/>
        <w:spacing w:before="240" w:beforeAutospacing="0" w:after="240" w:afterAutospacing="0" w:line="276" w:lineRule="auto"/>
        <w:ind w:firstLine="720"/>
        <w:jc w:val="both"/>
        <w:rPr>
          <w:rFonts w:asciiTheme="minorHAnsi" w:hAnsiTheme="minorHAnsi" w:cstheme="minorHAnsi"/>
          <w:color w:val="000000"/>
          <w:sz w:val="22"/>
          <w:szCs w:val="22"/>
          <w:lang w:val="es-AR"/>
        </w:rPr>
      </w:pPr>
      <w:r w:rsidRPr="003F612F">
        <w:rPr>
          <w:rFonts w:asciiTheme="minorHAnsi" w:hAnsiTheme="minorHAnsi" w:cstheme="minorHAnsi"/>
          <w:color w:val="000000"/>
          <w:sz w:val="22"/>
          <w:szCs w:val="22"/>
          <w:lang w:val="es-AR"/>
        </w:rPr>
        <w:t xml:space="preserve">Se observa </w:t>
      </w:r>
      <w:r w:rsidR="00E413A2" w:rsidRPr="003F612F">
        <w:rPr>
          <w:rFonts w:asciiTheme="minorHAnsi" w:hAnsiTheme="minorHAnsi" w:cstheme="minorHAnsi"/>
          <w:color w:val="000000"/>
          <w:sz w:val="22"/>
          <w:szCs w:val="22"/>
          <w:lang w:val="es-AR"/>
        </w:rPr>
        <w:t>la sistemática separación de madres con discapacidad</w:t>
      </w:r>
      <w:r w:rsidR="00CE28F7">
        <w:rPr>
          <w:rFonts w:asciiTheme="minorHAnsi" w:hAnsiTheme="minorHAnsi" w:cstheme="minorHAnsi"/>
          <w:color w:val="000000"/>
          <w:sz w:val="22"/>
          <w:szCs w:val="22"/>
          <w:lang w:val="es-AR"/>
        </w:rPr>
        <w:t>, en situación de pobreza,</w:t>
      </w:r>
      <w:r w:rsidR="00E413A2" w:rsidRPr="003F612F">
        <w:rPr>
          <w:rFonts w:asciiTheme="minorHAnsi" w:hAnsiTheme="minorHAnsi" w:cstheme="minorHAnsi"/>
          <w:color w:val="000000"/>
          <w:sz w:val="22"/>
          <w:szCs w:val="22"/>
          <w:lang w:val="es-AR"/>
        </w:rPr>
        <w:t xml:space="preserve"> de sus hijos e hijas</w:t>
      </w:r>
      <w:r w:rsidRPr="003F612F">
        <w:rPr>
          <w:rFonts w:asciiTheme="minorHAnsi" w:hAnsiTheme="minorHAnsi" w:cstheme="minorHAnsi"/>
          <w:color w:val="000000"/>
          <w:sz w:val="22"/>
          <w:szCs w:val="22"/>
          <w:lang w:val="es-AR"/>
        </w:rPr>
        <w:t xml:space="preserve"> con el argumento</w:t>
      </w:r>
      <w:r w:rsidR="00E413A2" w:rsidRPr="003F612F">
        <w:rPr>
          <w:rFonts w:asciiTheme="minorHAnsi" w:hAnsiTheme="minorHAnsi" w:cstheme="minorHAnsi"/>
          <w:color w:val="000000"/>
          <w:sz w:val="22"/>
          <w:szCs w:val="22"/>
          <w:lang w:val="es-AR"/>
        </w:rPr>
        <w:t xml:space="preserve"> que no podrían cuidarlos debidamente. </w:t>
      </w:r>
      <w:r w:rsidR="00CE28F7">
        <w:rPr>
          <w:rFonts w:asciiTheme="minorHAnsi" w:hAnsiTheme="minorHAnsi" w:cstheme="minorHAnsi"/>
          <w:color w:val="000000"/>
          <w:sz w:val="22"/>
          <w:szCs w:val="22"/>
          <w:lang w:val="es-AR"/>
        </w:rPr>
        <w:t>Se contrapone el interés superior del niño</w:t>
      </w:r>
      <w:r w:rsidR="00CE28F7">
        <w:rPr>
          <w:rStyle w:val="Refdenotaalpie"/>
          <w:rFonts w:asciiTheme="minorHAnsi" w:hAnsiTheme="minorHAnsi" w:cstheme="minorHAnsi"/>
          <w:color w:val="000000"/>
          <w:sz w:val="22"/>
          <w:szCs w:val="22"/>
          <w:lang w:val="es-AR"/>
        </w:rPr>
        <w:footnoteReference w:id="78"/>
      </w:r>
      <w:r w:rsidR="00CE28F7">
        <w:rPr>
          <w:rFonts w:asciiTheme="minorHAnsi" w:hAnsiTheme="minorHAnsi" w:cstheme="minorHAnsi"/>
          <w:color w:val="000000"/>
          <w:sz w:val="22"/>
          <w:szCs w:val="22"/>
          <w:lang w:val="es-AR"/>
        </w:rPr>
        <w:t>, al derecho a la maternidad de las PCD.</w:t>
      </w:r>
      <w:r w:rsidRPr="003F612F">
        <w:rPr>
          <w:rFonts w:asciiTheme="minorHAnsi" w:hAnsiTheme="minorHAnsi" w:cstheme="minorHAnsi"/>
          <w:color w:val="000000"/>
          <w:sz w:val="22"/>
          <w:szCs w:val="22"/>
          <w:lang w:val="es-AR"/>
        </w:rPr>
        <w:t xml:space="preserve"> E</w:t>
      </w:r>
      <w:r w:rsidR="00E413A2" w:rsidRPr="003F612F">
        <w:rPr>
          <w:rFonts w:asciiTheme="minorHAnsi" w:hAnsiTheme="minorHAnsi" w:cstheme="minorHAnsi"/>
          <w:color w:val="000000"/>
          <w:sz w:val="22"/>
          <w:szCs w:val="22"/>
          <w:lang w:val="es-AR"/>
        </w:rPr>
        <w:t>n la provincia de Ti</w:t>
      </w:r>
      <w:r w:rsidRPr="003F612F">
        <w:rPr>
          <w:rFonts w:asciiTheme="minorHAnsi" w:hAnsiTheme="minorHAnsi" w:cstheme="minorHAnsi"/>
          <w:color w:val="000000"/>
          <w:sz w:val="22"/>
          <w:szCs w:val="22"/>
          <w:lang w:val="es-AR"/>
        </w:rPr>
        <w:t>erra del Fuego en julio de 2019</w:t>
      </w:r>
      <w:r w:rsidR="004D0C35">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el Poder Judicial resolvió separar a un niño recién nacido de su madre por el solo hecho de que la mujer tenía una discapacidad intelectual, pese al pedido de ella y de su familia de continuar con la crianza de su hijo</w:t>
      </w:r>
      <w:r w:rsidR="00E413A2" w:rsidRPr="003F612F">
        <w:rPr>
          <w:rStyle w:val="Refdenotaalpie"/>
          <w:rFonts w:asciiTheme="minorHAnsi" w:hAnsiTheme="minorHAnsi" w:cstheme="minorHAnsi"/>
          <w:color w:val="000000"/>
          <w:sz w:val="22"/>
          <w:szCs w:val="22"/>
          <w:lang w:val="es-AR"/>
        </w:rPr>
        <w:footnoteReference w:id="79"/>
      </w:r>
      <w:r w:rsidR="00E413A2" w:rsidRPr="003F612F">
        <w:rPr>
          <w:rFonts w:asciiTheme="minorHAnsi" w:hAnsiTheme="minorHAnsi" w:cstheme="minorHAnsi"/>
          <w:color w:val="000000"/>
          <w:sz w:val="22"/>
          <w:szCs w:val="22"/>
          <w:lang w:val="es-AR"/>
        </w:rPr>
        <w:t>.</w:t>
      </w:r>
      <w:r w:rsidR="008910F4" w:rsidRPr="003F612F">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 xml:space="preserve">Otro caso similar ocurrió en febrero de 2022 en la provincia de La Pampa. La Dirección de Niñez, Adolescencia y Familia de la provincia resolvió sacarle la crianza de su hijo de seis años a una mujer </w:t>
      </w:r>
      <w:r w:rsidR="004D0C35" w:rsidRPr="003F612F">
        <w:rPr>
          <w:rFonts w:asciiTheme="minorHAnsi" w:hAnsiTheme="minorHAnsi" w:cstheme="minorHAnsi"/>
          <w:color w:val="000000"/>
          <w:sz w:val="22"/>
          <w:szCs w:val="22"/>
          <w:lang w:val="es-AR"/>
        </w:rPr>
        <w:t>sorda,</w:t>
      </w:r>
      <w:r w:rsidR="00E413A2" w:rsidRPr="003F612F">
        <w:rPr>
          <w:rFonts w:asciiTheme="minorHAnsi" w:hAnsiTheme="minorHAnsi" w:cstheme="minorHAnsi"/>
          <w:color w:val="000000"/>
          <w:sz w:val="22"/>
          <w:szCs w:val="22"/>
          <w:lang w:val="es-AR"/>
        </w:rPr>
        <w:t xml:space="preserve"> pese a que no había evidencia de que hubiera sufrido violencia y fue alojado en un hotel, con la única visita de asistentes sociales</w:t>
      </w:r>
      <w:r w:rsidR="00E413A2" w:rsidRPr="003F612F">
        <w:rPr>
          <w:rStyle w:val="Refdenotaalpie"/>
          <w:rFonts w:asciiTheme="minorHAnsi" w:hAnsiTheme="minorHAnsi" w:cstheme="minorHAnsi"/>
          <w:color w:val="000000"/>
          <w:sz w:val="22"/>
          <w:szCs w:val="22"/>
          <w:lang w:val="es-AR"/>
        </w:rPr>
        <w:footnoteReference w:id="80"/>
      </w:r>
      <w:r w:rsidR="00E413A2" w:rsidRPr="003F612F">
        <w:rPr>
          <w:rFonts w:asciiTheme="minorHAnsi" w:hAnsiTheme="minorHAnsi" w:cstheme="minorHAnsi"/>
          <w:color w:val="000000"/>
          <w:sz w:val="22"/>
          <w:szCs w:val="22"/>
          <w:lang w:val="es-AR"/>
        </w:rPr>
        <w:t>.</w:t>
      </w:r>
      <w:r w:rsidR="008910F4" w:rsidRPr="003F612F">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En ninguno de estos casos el Estado optó por brindarles a estas madres con discapacidad los apoyos que pudieran requerir para el ejercicio de la maternidad. </w:t>
      </w:r>
    </w:p>
    <w:p w14:paraId="5AD68CFB" w14:textId="53162109" w:rsidR="008D0EBB" w:rsidRDefault="00346CF6" w:rsidP="00762BF9">
      <w:pPr>
        <w:spacing w:after="240" w:line="276" w:lineRule="auto"/>
        <w:ind w:firstLine="720"/>
        <w:jc w:val="both"/>
        <w:rPr>
          <w:rFonts w:cstheme="minorHAnsi"/>
          <w:iCs/>
          <w:lang w:val="es-AR"/>
        </w:rPr>
      </w:pPr>
      <w:r w:rsidRPr="003F612F">
        <w:rPr>
          <w:rFonts w:cstheme="minorHAnsi"/>
          <w:color w:val="000000"/>
          <w:lang w:val="es-AR"/>
        </w:rPr>
        <w:t xml:space="preserve">En </w:t>
      </w:r>
      <w:r w:rsidR="00E413A2" w:rsidRPr="003F612F">
        <w:rPr>
          <w:rFonts w:cstheme="minorHAnsi"/>
          <w:iCs/>
          <w:lang w:val="es-AR"/>
        </w:rPr>
        <w:t xml:space="preserve">2020 </w:t>
      </w:r>
      <w:r w:rsidR="00912388" w:rsidRPr="003F612F">
        <w:rPr>
          <w:rFonts w:cstheme="minorHAnsi"/>
          <w:iCs/>
          <w:lang w:val="es-AR"/>
        </w:rPr>
        <w:t>se sancionó</w:t>
      </w:r>
      <w:r w:rsidR="00E413A2" w:rsidRPr="003F612F">
        <w:rPr>
          <w:rFonts w:cstheme="minorHAnsi"/>
          <w:iCs/>
          <w:lang w:val="es-AR"/>
        </w:rPr>
        <w:t xml:space="preserve"> la Ley N°27.611 de Atención y Cuidado Integral de la Salud durante el Embarazo y la Primera Infancia. Las asignaciones</w:t>
      </w:r>
      <w:r w:rsidR="00DB4559" w:rsidRPr="003F612F">
        <w:rPr>
          <w:rFonts w:cstheme="minorHAnsi"/>
          <w:iCs/>
          <w:lang w:val="es-AR"/>
        </w:rPr>
        <w:t xml:space="preserve"> económicas</w:t>
      </w:r>
      <w:r w:rsidR="00E413A2" w:rsidRPr="003F612F">
        <w:rPr>
          <w:rFonts w:cstheme="minorHAnsi"/>
          <w:iCs/>
          <w:lang w:val="es-AR"/>
        </w:rPr>
        <w:t xml:space="preserve"> comprendidas</w:t>
      </w:r>
      <w:r w:rsidR="00DB4559" w:rsidRPr="003F612F">
        <w:rPr>
          <w:rStyle w:val="Refdenotaalpie"/>
          <w:rFonts w:cstheme="minorHAnsi"/>
          <w:iCs/>
          <w:lang w:val="es-AR"/>
        </w:rPr>
        <w:footnoteReference w:id="81"/>
      </w:r>
      <w:r w:rsidR="00E413A2" w:rsidRPr="003F612F">
        <w:rPr>
          <w:rFonts w:cstheme="minorHAnsi"/>
          <w:iCs/>
          <w:lang w:val="es-AR"/>
        </w:rPr>
        <w:t xml:space="preserve"> no son compatibles con el cobro de la </w:t>
      </w:r>
      <w:r w:rsidRPr="003F612F">
        <w:rPr>
          <w:rFonts w:cstheme="minorHAnsi"/>
          <w:iCs/>
          <w:lang w:val="es-AR"/>
        </w:rPr>
        <w:t>pensión no c</w:t>
      </w:r>
      <w:r w:rsidR="00E413A2" w:rsidRPr="003F612F">
        <w:rPr>
          <w:rFonts w:cstheme="minorHAnsi"/>
          <w:iCs/>
          <w:lang w:val="es-AR"/>
        </w:rPr>
        <w:t xml:space="preserve">ontributiva. </w:t>
      </w:r>
      <w:r w:rsidR="00912388" w:rsidRPr="003F612F">
        <w:rPr>
          <w:rFonts w:cstheme="minorHAnsi"/>
          <w:iCs/>
          <w:lang w:val="es-AR"/>
        </w:rPr>
        <w:t>E</w:t>
      </w:r>
      <w:r w:rsidR="00E413A2" w:rsidRPr="003F612F">
        <w:rPr>
          <w:rFonts w:cstheme="minorHAnsi"/>
          <w:iCs/>
          <w:lang w:val="es-AR"/>
        </w:rPr>
        <w:t xml:space="preserve">stas herramientas de acompañamiento a la organización familiar son fundamentales para favorecer la calidad de vida de las personas en estado de gestación y de las infancias del país. </w:t>
      </w:r>
      <w:r w:rsidRPr="003F612F">
        <w:rPr>
          <w:rFonts w:cstheme="minorHAnsi"/>
          <w:iCs/>
          <w:lang w:val="es-AR"/>
        </w:rPr>
        <w:t xml:space="preserve">Asimismo, </w:t>
      </w:r>
      <w:r w:rsidR="00E551AC" w:rsidRPr="003F612F">
        <w:rPr>
          <w:rFonts w:cstheme="minorHAnsi"/>
          <w:iCs/>
          <w:lang w:val="es-AR"/>
        </w:rPr>
        <w:t>n</w:t>
      </w:r>
      <w:r w:rsidR="008D0EBB" w:rsidRPr="003F612F">
        <w:rPr>
          <w:rFonts w:cstheme="minorHAnsi"/>
          <w:iCs/>
          <w:lang w:val="es-AR"/>
        </w:rPr>
        <w:t>o está</w:t>
      </w:r>
      <w:r w:rsidR="00E551AC" w:rsidRPr="003F612F">
        <w:rPr>
          <w:rFonts w:cstheme="minorHAnsi"/>
          <w:iCs/>
          <w:lang w:val="es-AR"/>
        </w:rPr>
        <w:t>n</w:t>
      </w:r>
      <w:r w:rsidR="008D0EBB" w:rsidRPr="003F612F">
        <w:rPr>
          <w:rFonts w:cstheme="minorHAnsi"/>
          <w:iCs/>
          <w:lang w:val="es-AR"/>
        </w:rPr>
        <w:t xml:space="preserve"> contemplad</w:t>
      </w:r>
      <w:r w:rsidR="00E551AC" w:rsidRPr="003F612F">
        <w:rPr>
          <w:rFonts w:cstheme="minorHAnsi"/>
          <w:iCs/>
          <w:lang w:val="es-AR"/>
        </w:rPr>
        <w:t xml:space="preserve">as </w:t>
      </w:r>
      <w:r w:rsidR="008D0EBB" w:rsidRPr="003F612F">
        <w:rPr>
          <w:rFonts w:cstheme="minorHAnsi"/>
          <w:iCs/>
          <w:lang w:val="es-AR"/>
        </w:rPr>
        <w:t>licencias</w:t>
      </w:r>
      <w:r w:rsidR="003C591C">
        <w:rPr>
          <w:rFonts w:cstheme="minorHAnsi"/>
          <w:iCs/>
          <w:lang w:val="es-AR"/>
        </w:rPr>
        <w:t xml:space="preserve"> </w:t>
      </w:r>
      <w:r w:rsidR="003C591C" w:rsidRPr="00C8379D">
        <w:rPr>
          <w:rFonts w:cstheme="minorHAnsi"/>
          <w:iCs/>
          <w:lang w:val="es-AR"/>
        </w:rPr>
        <w:t>específicas</w:t>
      </w:r>
      <w:r w:rsidR="008D0EBB" w:rsidRPr="00C8379D">
        <w:rPr>
          <w:rFonts w:cstheme="minorHAnsi"/>
          <w:iCs/>
          <w:lang w:val="es-AR"/>
        </w:rPr>
        <w:t xml:space="preserve"> para </w:t>
      </w:r>
      <w:r w:rsidR="00DB4559" w:rsidRPr="00C8379D">
        <w:rPr>
          <w:rFonts w:cstheme="minorHAnsi"/>
          <w:iCs/>
          <w:lang w:val="es-AR"/>
        </w:rPr>
        <w:t>PCD</w:t>
      </w:r>
      <w:r w:rsidR="008D0EBB" w:rsidRPr="00C8379D">
        <w:rPr>
          <w:rFonts w:cstheme="minorHAnsi"/>
          <w:iCs/>
          <w:lang w:val="es-AR"/>
        </w:rPr>
        <w:t xml:space="preserve"> que son progenitor</w:t>
      </w:r>
      <w:r w:rsidR="00E551AC" w:rsidRPr="00C8379D">
        <w:rPr>
          <w:rFonts w:cstheme="minorHAnsi"/>
          <w:iCs/>
          <w:lang w:val="es-AR"/>
        </w:rPr>
        <w:t>e</w:t>
      </w:r>
      <w:r w:rsidR="008A5AE0" w:rsidRPr="00C8379D">
        <w:rPr>
          <w:rFonts w:cstheme="minorHAnsi"/>
          <w:iCs/>
          <w:lang w:val="es-AR"/>
        </w:rPr>
        <w:t>s, lo</w:t>
      </w:r>
      <w:r w:rsidR="008A5AE0" w:rsidRPr="003F612F">
        <w:rPr>
          <w:rFonts w:cstheme="minorHAnsi"/>
          <w:iCs/>
          <w:lang w:val="es-AR"/>
        </w:rPr>
        <w:t xml:space="preserve"> que</w:t>
      </w:r>
      <w:r w:rsidR="00DB4559" w:rsidRPr="003F612F">
        <w:rPr>
          <w:rFonts w:cstheme="minorHAnsi"/>
          <w:iCs/>
          <w:lang w:val="es-AR"/>
        </w:rPr>
        <w:t xml:space="preserve"> impacta de forma notable en los proyectos de familia de las PCD.</w:t>
      </w:r>
    </w:p>
    <w:p w14:paraId="54E8903A" w14:textId="188EA27A" w:rsidR="009A0194" w:rsidRPr="003F612F" w:rsidRDefault="00940520" w:rsidP="00762BF9">
      <w:pPr>
        <w:shd w:val="clear" w:color="auto" w:fill="FFFFFF"/>
        <w:spacing w:after="240" w:line="276" w:lineRule="auto"/>
        <w:ind w:firstLine="720"/>
        <w:jc w:val="both"/>
        <w:rPr>
          <w:rFonts w:eastAsia="Times New Roman" w:cstheme="minorHAnsi"/>
          <w:color w:val="000000"/>
          <w:lang w:val="es" w:eastAsia="en-GB"/>
        </w:rPr>
      </w:pPr>
      <w:r>
        <w:rPr>
          <w:rFonts w:eastAsia="Times New Roman" w:cstheme="minorHAnsi"/>
          <w:color w:val="000000"/>
          <w:lang w:val="es" w:eastAsia="en-GB"/>
        </w:rPr>
        <w:t>Aunado a ello, o</w:t>
      </w:r>
      <w:r w:rsidR="009A0194">
        <w:rPr>
          <w:rFonts w:eastAsia="Times New Roman" w:cstheme="minorHAnsi"/>
          <w:color w:val="000000"/>
          <w:lang w:val="es" w:eastAsia="en-GB"/>
        </w:rPr>
        <w:t>bservamos con especial preocupación la situación de la niñez con discapacidad psicosocia</w:t>
      </w:r>
      <w:r>
        <w:rPr>
          <w:rFonts w:eastAsia="Times New Roman" w:cstheme="minorHAnsi"/>
          <w:color w:val="000000"/>
          <w:lang w:val="es" w:eastAsia="en-GB"/>
        </w:rPr>
        <w:t xml:space="preserve">l, ya que </w:t>
      </w:r>
      <w:r w:rsidR="009A0194">
        <w:rPr>
          <w:rFonts w:eastAsia="Times New Roman" w:cstheme="minorHAnsi"/>
          <w:color w:val="000000"/>
          <w:lang w:val="es" w:eastAsia="en-GB"/>
        </w:rPr>
        <w:t>n</w:t>
      </w:r>
      <w:r w:rsidR="009A0194" w:rsidRPr="003F612F">
        <w:rPr>
          <w:rFonts w:eastAsia="Times New Roman" w:cstheme="minorHAnsi"/>
          <w:color w:val="000000"/>
          <w:lang w:val="es" w:eastAsia="en-GB"/>
        </w:rPr>
        <w:t>o existen políticas tendientes a la implementación de estrategias de fortalecimiento familiar</w:t>
      </w:r>
      <w:r w:rsidR="009A0194">
        <w:rPr>
          <w:rFonts w:eastAsia="Times New Roman" w:cstheme="minorHAnsi"/>
          <w:color w:val="000000"/>
          <w:lang w:val="es" w:eastAsia="en-GB"/>
        </w:rPr>
        <w:t xml:space="preserve">, </w:t>
      </w:r>
      <w:r w:rsidR="009A0194" w:rsidRPr="003F612F">
        <w:rPr>
          <w:rFonts w:eastAsia="Times New Roman" w:cstheme="minorHAnsi"/>
          <w:color w:val="000000"/>
          <w:lang w:val="es" w:eastAsia="en-GB"/>
        </w:rPr>
        <w:t xml:space="preserve">intervenciones domiciliarias-comunitarias y </w:t>
      </w:r>
      <w:r w:rsidR="009A0194">
        <w:rPr>
          <w:rFonts w:eastAsia="Times New Roman" w:cstheme="minorHAnsi"/>
          <w:color w:val="000000"/>
          <w:lang w:val="es" w:eastAsia="en-GB"/>
        </w:rPr>
        <w:t>c</w:t>
      </w:r>
      <w:r w:rsidR="009A0194" w:rsidRPr="003F612F">
        <w:rPr>
          <w:rFonts w:eastAsia="Times New Roman" w:cstheme="minorHAnsi"/>
          <w:color w:val="000000"/>
          <w:lang w:val="es" w:eastAsia="en-GB"/>
        </w:rPr>
        <w:t xml:space="preserve">reación de dispositivos alternativos a la institucionalización referidos a </w:t>
      </w:r>
      <w:r w:rsidR="009A0194">
        <w:rPr>
          <w:rFonts w:eastAsia="Times New Roman" w:cstheme="minorHAnsi"/>
          <w:color w:val="000000"/>
          <w:lang w:val="es" w:eastAsia="en-GB"/>
        </w:rPr>
        <w:t>ella</w:t>
      </w:r>
      <w:r w:rsidR="009A0194" w:rsidRPr="003F612F">
        <w:rPr>
          <w:rFonts w:eastAsia="Times New Roman" w:cstheme="minorHAnsi"/>
          <w:color w:val="000000"/>
          <w:lang w:val="es" w:eastAsia="en-GB"/>
        </w:rPr>
        <w:t xml:space="preserve">. A su vez, por la falta de respuestas adecuadas para avanzar en su </w:t>
      </w:r>
      <w:proofErr w:type="spellStart"/>
      <w:r w:rsidR="009A0194" w:rsidRPr="003F612F">
        <w:rPr>
          <w:rFonts w:eastAsia="Times New Roman" w:cstheme="minorHAnsi"/>
          <w:color w:val="000000"/>
          <w:lang w:val="es" w:eastAsia="en-GB"/>
        </w:rPr>
        <w:t>externación</w:t>
      </w:r>
      <w:proofErr w:type="spellEnd"/>
      <w:r w:rsidR="009A0194" w:rsidRPr="003F612F">
        <w:rPr>
          <w:rFonts w:eastAsia="Times New Roman" w:cstheme="minorHAnsi"/>
          <w:color w:val="000000"/>
          <w:lang w:val="es" w:eastAsia="en-GB"/>
        </w:rPr>
        <w:t xml:space="preserve"> sustentable y las escasas vacantes disponibles muchos de los niños y niñas permanecen </w:t>
      </w:r>
      <w:r w:rsidR="009A0194" w:rsidRPr="003F612F">
        <w:rPr>
          <w:rFonts w:eastAsia="Times New Roman" w:cstheme="minorHAnsi"/>
          <w:color w:val="000000"/>
          <w:lang w:val="es" w:eastAsia="en-GB"/>
        </w:rPr>
        <w:lastRenderedPageBreak/>
        <w:t>indefinidamente internad</w:t>
      </w:r>
      <w:r w:rsidR="009A0194">
        <w:rPr>
          <w:rFonts w:eastAsia="Times New Roman" w:cstheme="minorHAnsi"/>
          <w:color w:val="000000"/>
          <w:lang w:val="es" w:eastAsia="en-GB"/>
        </w:rPr>
        <w:t>as</w:t>
      </w:r>
      <w:r w:rsidR="009A0194" w:rsidRPr="003F612F">
        <w:rPr>
          <w:rFonts w:eastAsia="Times New Roman" w:cstheme="minorHAnsi"/>
          <w:color w:val="000000"/>
          <w:lang w:val="es" w:eastAsia="en-GB"/>
        </w:rPr>
        <w:t xml:space="preserve"> en estas instituciones o atraviesan constantes salidas y </w:t>
      </w:r>
      <w:proofErr w:type="spellStart"/>
      <w:r w:rsidR="009A0194" w:rsidRPr="003F612F">
        <w:rPr>
          <w:rFonts w:eastAsia="Times New Roman" w:cstheme="minorHAnsi"/>
          <w:color w:val="000000"/>
          <w:lang w:val="es" w:eastAsia="en-GB"/>
        </w:rPr>
        <w:t>reinternaciones</w:t>
      </w:r>
      <w:proofErr w:type="spellEnd"/>
      <w:r w:rsidR="009A0194" w:rsidRPr="003F612F">
        <w:rPr>
          <w:rFonts w:eastAsia="Times New Roman" w:cstheme="minorHAnsi"/>
          <w:color w:val="000000"/>
          <w:vertAlign w:val="superscript"/>
          <w:lang w:val="es" w:eastAsia="en-GB"/>
        </w:rPr>
        <w:footnoteReference w:id="82"/>
      </w:r>
      <w:r w:rsidR="009A0194" w:rsidRPr="003F612F">
        <w:rPr>
          <w:rFonts w:eastAsia="Times New Roman" w:cstheme="minorHAnsi"/>
          <w:color w:val="000000"/>
          <w:lang w:val="es" w:eastAsia="en-GB"/>
        </w:rPr>
        <w:t xml:space="preserve">. En estos lugares, las infancias están expuestas a diferentes formas de violencia y a una constante </w:t>
      </w:r>
      <w:proofErr w:type="spellStart"/>
      <w:r w:rsidR="009A0194" w:rsidRPr="003F612F">
        <w:rPr>
          <w:rFonts w:eastAsia="Times New Roman" w:cstheme="minorHAnsi"/>
          <w:color w:val="000000"/>
          <w:lang w:val="es" w:eastAsia="en-GB"/>
        </w:rPr>
        <w:t>patologización</w:t>
      </w:r>
      <w:proofErr w:type="spellEnd"/>
      <w:r w:rsidR="009A0194" w:rsidRPr="003F612F">
        <w:rPr>
          <w:rFonts w:eastAsia="Times New Roman" w:cstheme="minorHAnsi"/>
          <w:color w:val="000000"/>
          <w:lang w:val="es" w:eastAsia="en-GB"/>
        </w:rPr>
        <w:t xml:space="preserve"> de su conducta. Esta situación se agrava si se tiene en cuenta que, según investigaciones recientes, la institucionalización psiquiátrica de la niñez en Argentina mostró un incremento con una importante tendencia progresiva</w:t>
      </w:r>
      <w:r w:rsidR="009A0194" w:rsidRPr="003F612F">
        <w:rPr>
          <w:rFonts w:eastAsia="Times New Roman" w:cstheme="minorHAnsi"/>
          <w:color w:val="000000"/>
          <w:vertAlign w:val="superscript"/>
          <w:lang w:val="es" w:eastAsia="en-GB"/>
        </w:rPr>
        <w:footnoteReference w:id="83"/>
      </w:r>
      <w:r w:rsidR="009A0194" w:rsidRPr="003F612F">
        <w:rPr>
          <w:rFonts w:eastAsia="Times New Roman" w:cstheme="minorHAnsi"/>
          <w:color w:val="000000"/>
          <w:lang w:val="es" w:eastAsia="en-GB"/>
        </w:rPr>
        <w:t xml:space="preserve">. </w:t>
      </w:r>
    </w:p>
    <w:p w14:paraId="78F1EA0B" w14:textId="77777777" w:rsidR="009A0194" w:rsidRPr="003F612F" w:rsidRDefault="009A0194" w:rsidP="00762BF9">
      <w:pPr>
        <w:shd w:val="clear" w:color="auto" w:fill="FFFFFF"/>
        <w:spacing w:after="240" w:line="276" w:lineRule="auto"/>
        <w:ind w:firstLine="720"/>
        <w:jc w:val="both"/>
        <w:rPr>
          <w:rFonts w:eastAsia="Times New Roman" w:cstheme="minorHAnsi"/>
          <w:lang w:val="es-AR"/>
        </w:rPr>
      </w:pPr>
      <w:r w:rsidRPr="003F612F">
        <w:rPr>
          <w:rFonts w:eastAsia="Times New Roman" w:cstheme="minorHAnsi"/>
          <w:color w:val="000000"/>
          <w:lang w:val="es" w:eastAsia="en-GB"/>
        </w:rPr>
        <w:t>El Órgano de Revisión Nacional de Salud Mental</w:t>
      </w:r>
      <w:r w:rsidRPr="003F612F">
        <w:rPr>
          <w:rFonts w:eastAsia="Times New Roman" w:cstheme="minorHAnsi"/>
          <w:color w:val="000000"/>
          <w:vertAlign w:val="superscript"/>
          <w:lang w:val="es" w:eastAsia="en-GB"/>
        </w:rPr>
        <w:footnoteReference w:id="84"/>
      </w:r>
      <w:r w:rsidRPr="003F612F">
        <w:rPr>
          <w:rFonts w:eastAsia="Times New Roman" w:cstheme="minorHAnsi"/>
          <w:color w:val="000000"/>
          <w:lang w:val="es" w:eastAsia="en-GB"/>
        </w:rPr>
        <w:t xml:space="preserve"> señaló que todavía existen en Argentina instituciones cuya única modalidad de abordaje es de tipo asistencial-asilar, basada en la institucionalización, en lugares con hacinamiento y que reúnen en un mismo espacio a personas adultas y a niños, niñas y adolescentes. Además, constató situaciones de abandono de las personas internadas y de violencia institucional, tratos inadecuados, sujeciones físicas, deterioros edilicios de las instituciones, y falta de intimidad y privacidad. El organismo también alertó sobre la prolongación innecesaria de internaciones por problemáticas sociales, las vulneraciones al derecho a la identidad, a la educación y al sostenimiento de vínculos familiares, y las restricciones a la comunicación de la niñez institucionalizada con sus referentes afectivos/as</w:t>
      </w:r>
      <w:r w:rsidRPr="003F612F">
        <w:rPr>
          <w:rFonts w:eastAsia="Times New Roman" w:cstheme="minorHAnsi"/>
          <w:color w:val="000000"/>
          <w:vertAlign w:val="superscript"/>
          <w:lang w:val="es" w:eastAsia="en-GB"/>
        </w:rPr>
        <w:footnoteReference w:id="85"/>
      </w:r>
      <w:r w:rsidRPr="003F612F">
        <w:rPr>
          <w:rFonts w:eastAsia="Times New Roman" w:cstheme="minorHAnsi"/>
          <w:color w:val="000000"/>
          <w:lang w:val="es" w:eastAsia="en-GB"/>
        </w:rPr>
        <w:t xml:space="preserve">. </w:t>
      </w:r>
    </w:p>
    <w:p w14:paraId="3584B9DB" w14:textId="0C943A1B" w:rsidR="00E413A2" w:rsidRPr="003F612F" w:rsidRDefault="00F634E5" w:rsidP="00762BF9">
      <w:pPr>
        <w:spacing w:after="240" w:line="276" w:lineRule="auto"/>
        <w:jc w:val="both"/>
        <w:rPr>
          <w:rFonts w:eastAsia="Times New Roman" w:cstheme="minorHAnsi"/>
          <w:b/>
          <w:bCs/>
          <w:i/>
          <w:u w:val="single"/>
          <w:lang w:val="es-AR"/>
        </w:rPr>
      </w:pPr>
      <w:r>
        <w:rPr>
          <w:rFonts w:eastAsia="Times New Roman" w:cstheme="minorHAnsi"/>
          <w:b/>
          <w:bCs/>
          <w:i/>
          <w:u w:val="single"/>
          <w:lang w:val="es-AR"/>
        </w:rPr>
        <w:t>Recomendaciones</w:t>
      </w:r>
      <w:r w:rsidRPr="003F612F">
        <w:rPr>
          <w:rFonts w:eastAsia="Times New Roman" w:cstheme="minorHAnsi"/>
          <w:b/>
          <w:bCs/>
          <w:i/>
          <w:u w:val="single"/>
          <w:lang w:val="es-AR"/>
        </w:rPr>
        <w:t xml:space="preserve"> </w:t>
      </w:r>
      <w:r w:rsidR="00E413A2" w:rsidRPr="003F612F">
        <w:rPr>
          <w:rFonts w:eastAsia="Times New Roman" w:cstheme="minorHAnsi"/>
          <w:b/>
          <w:bCs/>
          <w:i/>
          <w:u w:val="single"/>
          <w:lang w:val="es-AR"/>
        </w:rPr>
        <w:t xml:space="preserve">sugeridas al Estado: </w:t>
      </w:r>
    </w:p>
    <w:p w14:paraId="7EDC36DC" w14:textId="005196AA" w:rsidR="00EA6E8F" w:rsidRPr="003F612F" w:rsidRDefault="009279D6" w:rsidP="00762BF9">
      <w:pPr>
        <w:pStyle w:val="Prrafodelista"/>
        <w:numPr>
          <w:ilvl w:val="0"/>
          <w:numId w:val="14"/>
        </w:numPr>
        <w:spacing w:after="240" w:line="276" w:lineRule="auto"/>
        <w:ind w:left="714" w:hanging="357"/>
        <w:contextualSpacing w:val="0"/>
        <w:jc w:val="both"/>
        <w:rPr>
          <w:rFonts w:eastAsia="Times New Roman" w:cstheme="minorHAnsi"/>
          <w:iCs/>
          <w:lang w:val="es-AR"/>
        </w:rPr>
      </w:pPr>
      <w:r w:rsidRPr="009279D6">
        <w:rPr>
          <w:rFonts w:eastAsia="Times New Roman" w:cstheme="minorHAnsi"/>
          <w:iCs/>
          <w:lang w:val="es-AR"/>
        </w:rPr>
        <w:t>Implementar medidas para que las PCD cuenten con los apoyos necesarios, incluidas asignaciones económicas específicas compatibles con las pensiones no contributivas  para criar a sus hijos/as a fin de no incurrir en discriminación por motivos de discapacidad afectando a los y las menores y a sus familias.</w:t>
      </w:r>
    </w:p>
    <w:p w14:paraId="613197D9" w14:textId="77777777" w:rsidR="00EA6E8F" w:rsidRPr="003F612F" w:rsidRDefault="00EA6E8F" w:rsidP="00762BF9">
      <w:pPr>
        <w:pStyle w:val="Prrafodelista"/>
        <w:numPr>
          <w:ilvl w:val="0"/>
          <w:numId w:val="14"/>
        </w:numPr>
        <w:spacing w:after="240" w:line="276" w:lineRule="auto"/>
        <w:ind w:left="714" w:hanging="357"/>
        <w:contextualSpacing w:val="0"/>
        <w:jc w:val="both"/>
        <w:rPr>
          <w:rFonts w:eastAsia="Times New Roman" w:cstheme="minorHAnsi"/>
          <w:iCs/>
          <w:lang w:val="es-AR"/>
        </w:rPr>
      </w:pPr>
      <w:r>
        <w:rPr>
          <w:rFonts w:eastAsia="Times New Roman" w:cstheme="minorHAnsi"/>
          <w:iCs/>
          <w:lang w:val="es-AR"/>
        </w:rPr>
        <w:t xml:space="preserve">Implementar medidas para prevenir la </w:t>
      </w:r>
      <w:r w:rsidRPr="003F612F">
        <w:rPr>
          <w:rFonts w:eastAsia="Times New Roman" w:cstheme="minorHAnsi"/>
          <w:iCs/>
          <w:lang w:val="es-AR"/>
        </w:rPr>
        <w:t xml:space="preserve">discriminación por motivos de discapacidad </w:t>
      </w:r>
      <w:r>
        <w:rPr>
          <w:rFonts w:eastAsia="Times New Roman" w:cstheme="minorHAnsi"/>
          <w:iCs/>
          <w:lang w:val="es-AR"/>
        </w:rPr>
        <w:t>en adopciones o gestaciones por</w:t>
      </w:r>
      <w:r w:rsidRPr="003F612F">
        <w:rPr>
          <w:rFonts w:eastAsia="Times New Roman" w:cstheme="minorHAnsi"/>
          <w:iCs/>
          <w:lang w:val="es-AR"/>
        </w:rPr>
        <w:t xml:space="preserve"> técnicas de reproducción asistida</w:t>
      </w:r>
      <w:r>
        <w:rPr>
          <w:rFonts w:eastAsia="Times New Roman" w:cstheme="minorHAnsi"/>
          <w:iCs/>
          <w:lang w:val="es-AR"/>
        </w:rPr>
        <w:t xml:space="preserve">. </w:t>
      </w:r>
    </w:p>
    <w:p w14:paraId="469B3879" w14:textId="77777777" w:rsidR="00EA6E8F" w:rsidRPr="003F612F" w:rsidRDefault="00EA6E8F" w:rsidP="00762BF9">
      <w:pPr>
        <w:pStyle w:val="Prrafodelista"/>
        <w:numPr>
          <w:ilvl w:val="0"/>
          <w:numId w:val="14"/>
        </w:numPr>
        <w:spacing w:after="240" w:line="276" w:lineRule="auto"/>
        <w:ind w:left="714" w:hanging="357"/>
        <w:contextualSpacing w:val="0"/>
        <w:jc w:val="both"/>
        <w:rPr>
          <w:rFonts w:eastAsia="Times New Roman" w:cstheme="minorHAnsi"/>
          <w:iCs/>
          <w:lang w:val="es-AR"/>
        </w:rPr>
      </w:pPr>
      <w:r>
        <w:rPr>
          <w:rFonts w:eastAsia="Times New Roman" w:cstheme="minorHAnsi"/>
          <w:iCs/>
          <w:lang w:val="es-AR"/>
        </w:rPr>
        <w:t>Implementar medidas para capacitar al</w:t>
      </w:r>
      <w:r w:rsidRPr="003F612F">
        <w:rPr>
          <w:rFonts w:eastAsia="Times New Roman" w:cstheme="minorHAnsi"/>
          <w:iCs/>
          <w:lang w:val="es-AR"/>
        </w:rPr>
        <w:t xml:space="preserve"> personal de poder judicial, trabajadoras/es sociales y personal de centros de salud </w:t>
      </w:r>
      <w:r>
        <w:rPr>
          <w:rFonts w:eastAsia="Times New Roman" w:cstheme="minorHAnsi"/>
          <w:iCs/>
          <w:lang w:val="es-AR"/>
        </w:rPr>
        <w:t xml:space="preserve">para fortalecer el vínculo de madres con discapacidad y sus hijos e hijas a fin de evitar la separación forzada. </w:t>
      </w:r>
    </w:p>
    <w:tbl>
      <w:tblPr>
        <w:tblStyle w:val="Tablaconcuadrcula"/>
        <w:tblW w:w="0" w:type="auto"/>
        <w:tblLook w:val="04A0" w:firstRow="1" w:lastRow="0" w:firstColumn="1" w:lastColumn="0" w:noHBand="0" w:noVBand="1"/>
      </w:tblPr>
      <w:tblGrid>
        <w:gridCol w:w="9736"/>
      </w:tblGrid>
      <w:tr w:rsidR="00C22053" w:rsidRPr="003F612F" w14:paraId="178CE992" w14:textId="77777777" w:rsidTr="00C22053">
        <w:tc>
          <w:tcPr>
            <w:tcW w:w="9736" w:type="dxa"/>
            <w:shd w:val="clear" w:color="auto" w:fill="D5DCE4" w:themeFill="text2" w:themeFillTint="33"/>
          </w:tcPr>
          <w:p w14:paraId="1AC1CAC7" w14:textId="19C3C38C" w:rsidR="00C22053" w:rsidRPr="00030F72" w:rsidRDefault="00C22053" w:rsidP="00762BF9">
            <w:pPr>
              <w:pStyle w:val="Ttulo2"/>
              <w:spacing w:line="276" w:lineRule="auto"/>
              <w:jc w:val="center"/>
              <w:outlineLvl w:val="1"/>
              <w:rPr>
                <w:rFonts w:asciiTheme="minorHAnsi" w:eastAsia="Times New Roman" w:hAnsiTheme="minorHAnsi" w:cstheme="minorHAnsi"/>
                <w:b/>
                <w:bCs/>
                <w:lang w:val="es-AR"/>
              </w:rPr>
            </w:pPr>
            <w:bookmarkStart w:id="27" w:name="_Toc124881449"/>
            <w:r w:rsidRPr="00030F72">
              <w:rPr>
                <w:rFonts w:asciiTheme="minorHAnsi" w:eastAsia="Times New Roman" w:hAnsiTheme="minorHAnsi" w:cstheme="minorHAnsi"/>
                <w:b/>
                <w:bCs/>
                <w:color w:val="auto"/>
                <w:sz w:val="24"/>
                <w:szCs w:val="24"/>
                <w:lang w:val="es-AR"/>
              </w:rPr>
              <w:t>Artículo 24: Derecho a la Educación</w:t>
            </w:r>
            <w:bookmarkEnd w:id="27"/>
          </w:p>
        </w:tc>
      </w:tr>
    </w:tbl>
    <w:p w14:paraId="05CECBA1" w14:textId="0DB96725" w:rsidR="00C561FB" w:rsidRPr="003F612F" w:rsidRDefault="001F4C0D" w:rsidP="00762BF9">
      <w:pPr>
        <w:widowControl w:val="0"/>
        <w:spacing w:before="240" w:after="200" w:line="276" w:lineRule="auto"/>
        <w:ind w:firstLine="720"/>
        <w:jc w:val="both"/>
        <w:rPr>
          <w:rFonts w:eastAsia="Chivo" w:cstheme="minorHAnsi"/>
          <w:lang w:val="es-AR"/>
        </w:rPr>
      </w:pPr>
      <w:r w:rsidRPr="003F612F">
        <w:rPr>
          <w:rFonts w:eastAsia="Chivo" w:cstheme="minorHAnsi"/>
          <w:lang w:val="es-AR"/>
        </w:rPr>
        <w:t>Las PCD ven vulnerado su derecho a la educación de tres formas: i) algunas están absolutamente excluidas del sistema educativo; ii) otras permanecen segregadas en escuelas especiales; y iii) otras asisten a las escuelas generales, pero sin recibir los apoyos que requieren para aprender y participar en condiciones de igualdad</w:t>
      </w:r>
      <w:r w:rsidR="00C561FB" w:rsidRPr="003F612F">
        <w:rPr>
          <w:rFonts w:eastAsia="Chivo" w:cstheme="minorHAnsi"/>
          <w:lang w:val="es-AR"/>
        </w:rPr>
        <w:t xml:space="preserve">. </w:t>
      </w:r>
      <w:r w:rsidR="00B90500">
        <w:rPr>
          <w:rFonts w:eastAsia="Chivo" w:cstheme="minorHAnsi"/>
          <w:lang w:val="es-AR"/>
        </w:rPr>
        <w:t xml:space="preserve">Las </w:t>
      </w:r>
      <w:r w:rsidR="006114CC">
        <w:rPr>
          <w:rFonts w:eastAsia="Chivo" w:cstheme="minorHAnsi"/>
          <w:lang w:val="es-AR"/>
        </w:rPr>
        <w:t>PCD</w:t>
      </w:r>
      <w:r w:rsidR="00B90500">
        <w:rPr>
          <w:rFonts w:eastAsia="Chivo" w:cstheme="minorHAnsi"/>
          <w:lang w:val="es-AR"/>
        </w:rPr>
        <w:t xml:space="preserve"> se enfrentan a</w:t>
      </w:r>
      <w:r w:rsidR="00C561FB" w:rsidRPr="003F612F">
        <w:rPr>
          <w:rFonts w:eastAsia="Chivo" w:cstheme="minorHAnsi"/>
          <w:lang w:val="es-AR"/>
        </w:rPr>
        <w:t xml:space="preserve"> sistemáticos rechazos </w:t>
      </w:r>
      <w:r w:rsidR="00030F72">
        <w:rPr>
          <w:rFonts w:eastAsia="Chivo" w:cstheme="minorHAnsi"/>
          <w:color w:val="222222"/>
          <w:lang w:val="es-AR"/>
        </w:rPr>
        <w:t>de</w:t>
      </w:r>
      <w:r w:rsidR="00C561FB" w:rsidRPr="003F612F">
        <w:rPr>
          <w:rFonts w:eastAsia="Chivo" w:cstheme="minorHAnsi"/>
          <w:color w:val="222222"/>
          <w:lang w:val="es-AR"/>
        </w:rPr>
        <w:t xml:space="preserve"> </w:t>
      </w:r>
      <w:r w:rsidR="00C561FB" w:rsidRPr="003F612F">
        <w:rPr>
          <w:rFonts w:eastAsia="Chivo" w:cstheme="minorHAnsi"/>
          <w:lang w:val="es-AR"/>
        </w:rPr>
        <w:t xml:space="preserve">matriculación en escuelas comunes públicas y </w:t>
      </w:r>
      <w:r w:rsidR="00C561FB" w:rsidRPr="00940520">
        <w:rPr>
          <w:rFonts w:eastAsia="Chivo" w:cstheme="minorHAnsi"/>
          <w:lang w:val="es-AR"/>
        </w:rPr>
        <w:lastRenderedPageBreak/>
        <w:t>privadas</w:t>
      </w:r>
      <w:r w:rsidR="0078633F" w:rsidRPr="00940520">
        <w:rPr>
          <w:rStyle w:val="Refdenotaalpie"/>
          <w:rFonts w:eastAsia="Chivo" w:cstheme="minorHAnsi"/>
          <w:lang w:val="es-AR"/>
        </w:rPr>
        <w:footnoteReference w:id="86"/>
      </w:r>
      <w:r w:rsidR="00B12DA5" w:rsidRPr="00940520">
        <w:rPr>
          <w:rFonts w:eastAsia="Chivo" w:cstheme="minorHAnsi"/>
          <w:lang w:val="es-AR"/>
        </w:rPr>
        <w:t xml:space="preserve">. </w:t>
      </w:r>
      <w:r w:rsidR="00057FDF" w:rsidRPr="00940520">
        <w:rPr>
          <w:rFonts w:eastAsia="Chivo" w:cstheme="minorHAnsi"/>
          <w:lang w:val="es-AR"/>
        </w:rPr>
        <w:t>Ocurre</w:t>
      </w:r>
      <w:r w:rsidR="00057FDF">
        <w:rPr>
          <w:rFonts w:eastAsia="Chivo" w:cstheme="minorHAnsi"/>
          <w:lang w:val="es-AR"/>
        </w:rPr>
        <w:t xml:space="preserve"> a pesar de la existencia de la Resolución 311/16</w:t>
      </w:r>
      <w:r w:rsidR="004C6642">
        <w:rPr>
          <w:rFonts w:eastAsia="Chivo" w:cstheme="minorHAnsi"/>
          <w:lang w:val="es-AR"/>
        </w:rPr>
        <w:t xml:space="preserve"> del Consejo Federal de Educación</w:t>
      </w:r>
      <w:r w:rsidR="00057FDF">
        <w:rPr>
          <w:rFonts w:eastAsia="Chivo" w:cstheme="minorHAnsi"/>
          <w:lang w:val="es-AR"/>
        </w:rPr>
        <w:t xml:space="preserve"> </w:t>
      </w:r>
      <w:r w:rsidR="00E16C71">
        <w:rPr>
          <w:rFonts w:eastAsia="Chivo" w:cstheme="minorHAnsi"/>
          <w:lang w:val="es-AR"/>
        </w:rPr>
        <w:t>que si bien trae avances en la regulación de las trayectorias educativas</w:t>
      </w:r>
      <w:r w:rsidR="00707CA8">
        <w:rPr>
          <w:rFonts w:eastAsia="Chivo" w:cstheme="minorHAnsi"/>
          <w:lang w:val="es-AR"/>
        </w:rPr>
        <w:t xml:space="preserve"> no se encuentra plenamente armonizada con la CDPD</w:t>
      </w:r>
      <w:r w:rsidR="004C6642">
        <w:rPr>
          <w:rFonts w:eastAsia="Chivo" w:cstheme="minorHAnsi"/>
          <w:lang w:val="es-AR"/>
        </w:rPr>
        <w:t>.</w:t>
      </w:r>
    </w:p>
    <w:p w14:paraId="7FA65FDA" w14:textId="38C40C8C" w:rsidR="00FA1F43" w:rsidRPr="003F612F" w:rsidRDefault="003952A0" w:rsidP="00762BF9">
      <w:pPr>
        <w:widowControl w:val="0"/>
        <w:spacing w:after="200" w:line="276" w:lineRule="auto"/>
        <w:ind w:firstLine="720"/>
        <w:jc w:val="both"/>
        <w:rPr>
          <w:rFonts w:eastAsia="Chivo" w:cstheme="minorHAnsi"/>
          <w:lang w:val="es-AR"/>
        </w:rPr>
      </w:pPr>
      <w:r w:rsidRPr="003F612F">
        <w:rPr>
          <w:rFonts w:eastAsia="Chivo" w:cstheme="minorHAnsi"/>
          <w:lang w:val="es-AR"/>
        </w:rPr>
        <w:t>Según los últimos datos disponibles, hay 101.107 niños, niñas adolescentes y jóvenes que estudian en escuelas especiales</w:t>
      </w:r>
      <w:r w:rsidRPr="003F612F">
        <w:rPr>
          <w:rFonts w:eastAsia="Chivo" w:cstheme="minorHAnsi"/>
          <w:vertAlign w:val="superscript"/>
          <w:lang w:val="es-AR"/>
        </w:rPr>
        <w:footnoteReference w:id="87"/>
      </w:r>
      <w:r w:rsidRPr="003F612F">
        <w:rPr>
          <w:rFonts w:eastAsia="Chivo" w:cstheme="minorHAnsi"/>
          <w:lang w:val="es-AR"/>
        </w:rPr>
        <w:t>. De acuerdo a datos del año 2020</w:t>
      </w:r>
      <w:r w:rsidRPr="003F612F">
        <w:rPr>
          <w:rFonts w:eastAsia="Chivo" w:cstheme="minorHAnsi"/>
          <w:vertAlign w:val="superscript"/>
          <w:lang w:val="es-AR"/>
        </w:rPr>
        <w:footnoteReference w:id="88"/>
      </w:r>
      <w:r w:rsidRPr="003F612F">
        <w:rPr>
          <w:rFonts w:eastAsia="Chivo" w:cstheme="minorHAnsi"/>
          <w:lang w:val="es-AR"/>
        </w:rPr>
        <w:t>, sobre el total de PCD escolarizadas</w:t>
      </w:r>
      <w:r w:rsidR="00350FF5">
        <w:rPr>
          <w:rFonts w:eastAsia="Chivo" w:cstheme="minorHAnsi"/>
          <w:lang w:val="es-AR"/>
        </w:rPr>
        <w:t xml:space="preserve"> (</w:t>
      </w:r>
      <w:r w:rsidR="00F952B9">
        <w:rPr>
          <w:rFonts w:eastAsia="Chivo" w:cstheme="minorHAnsi"/>
          <w:lang w:val="es-AR"/>
        </w:rPr>
        <w:t>254.037</w:t>
      </w:r>
      <w:r w:rsidR="00E00FB6">
        <w:rPr>
          <w:rFonts w:eastAsia="Chivo" w:cstheme="minorHAnsi"/>
          <w:lang w:val="es-AR"/>
        </w:rPr>
        <w:t>)</w:t>
      </w:r>
      <w:r w:rsidRPr="003F612F">
        <w:rPr>
          <w:rFonts w:eastAsia="Chivo" w:cstheme="minorHAnsi"/>
          <w:lang w:val="es-AR"/>
        </w:rPr>
        <w:t xml:space="preserve">, el 39,8% asiste a escuelas especiales, y la proporción de PCD en relación a la matrícula total de escuela común no superó el 1,39%. En el nivel secundario, 47,63% de estudiantes con discapacidad estudian en escuelas especiales y solo representan el 1,06% del alumnado en escuelas comunes. En algunas provincias la situación es más alarmante aún, ya que más de la mitad de </w:t>
      </w:r>
      <w:r w:rsidR="00DA0B68">
        <w:rPr>
          <w:rFonts w:eastAsia="Chivo" w:cstheme="minorHAnsi"/>
          <w:lang w:val="es-AR"/>
        </w:rPr>
        <w:t xml:space="preserve">las PCD </w:t>
      </w:r>
      <w:r w:rsidRPr="003F612F">
        <w:rPr>
          <w:rFonts w:eastAsia="Chivo" w:cstheme="minorHAnsi"/>
          <w:lang w:val="es-AR"/>
        </w:rPr>
        <w:t>asiste a una escuela especial</w:t>
      </w:r>
      <w:r w:rsidRPr="003F612F">
        <w:rPr>
          <w:rStyle w:val="Refdenotaalpie"/>
          <w:rFonts w:eastAsia="Chivo" w:cstheme="minorHAnsi"/>
          <w:lang w:val="es-AR"/>
        </w:rPr>
        <w:footnoteReference w:id="89"/>
      </w:r>
      <w:r w:rsidRPr="003F612F">
        <w:rPr>
          <w:rFonts w:eastAsia="Chivo" w:cstheme="minorHAnsi"/>
          <w:lang w:val="es-AR"/>
        </w:rPr>
        <w:t xml:space="preserve">. </w:t>
      </w:r>
    </w:p>
    <w:p w14:paraId="5C2BBD5C" w14:textId="0BFD8538" w:rsidR="003E6FA4" w:rsidRDefault="003E6FA4" w:rsidP="00762BF9">
      <w:pPr>
        <w:widowControl w:val="0"/>
        <w:spacing w:after="200" w:line="276" w:lineRule="auto"/>
        <w:ind w:firstLine="720"/>
        <w:jc w:val="both"/>
        <w:rPr>
          <w:rFonts w:eastAsia="Chivo" w:cstheme="minorHAnsi"/>
          <w:color w:val="222222"/>
          <w:lang w:val="es-AR"/>
        </w:rPr>
      </w:pPr>
      <w:r w:rsidRPr="003F612F">
        <w:rPr>
          <w:rFonts w:eastAsia="Chivo" w:cstheme="minorHAnsi"/>
          <w:color w:val="222222"/>
          <w:lang w:val="es-AR"/>
        </w:rPr>
        <w:t>No hay políticas adecuadas para asegurar la plena accesibilidad física y comunicacional del sistema educativo en su conjunt</w:t>
      </w:r>
      <w:r w:rsidR="00512614">
        <w:rPr>
          <w:rFonts w:eastAsia="Chivo" w:cstheme="minorHAnsi"/>
          <w:color w:val="222222"/>
          <w:lang w:val="es-AR"/>
        </w:rPr>
        <w:t>o</w:t>
      </w:r>
      <w:r w:rsidRPr="003F612F">
        <w:rPr>
          <w:rFonts w:eastAsia="Chivo" w:cstheme="minorHAnsi"/>
          <w:color w:val="222222"/>
          <w:lang w:val="es-AR"/>
        </w:rPr>
        <w:t>. Los servicios de apoyo existentes suelen ser escasos, fragmentados, discontinuos y pensados desde el modelo médico. Acorde a información relevada</w:t>
      </w:r>
      <w:r w:rsidRPr="003F612F">
        <w:rPr>
          <w:rFonts w:eastAsia="Chivo" w:cstheme="minorHAnsi"/>
          <w:color w:val="222222"/>
          <w:vertAlign w:val="superscript"/>
          <w:lang w:val="es-AR"/>
        </w:rPr>
        <w:footnoteReference w:id="90"/>
      </w:r>
      <w:r w:rsidRPr="003F612F">
        <w:rPr>
          <w:rFonts w:eastAsia="Chivo" w:cstheme="minorHAnsi"/>
          <w:color w:val="222222"/>
          <w:lang w:val="es-AR"/>
        </w:rPr>
        <w:t>, el 33,5% de las personas encuestadas no contaban con figuras de apoyo y de ese porcentaje</w:t>
      </w:r>
      <w:r w:rsidR="00512614">
        <w:rPr>
          <w:rFonts w:eastAsia="Chivo" w:cstheme="minorHAnsi"/>
          <w:color w:val="222222"/>
          <w:lang w:val="es-AR"/>
        </w:rPr>
        <w:t xml:space="preserve"> </w:t>
      </w:r>
      <w:r w:rsidRPr="003F612F">
        <w:rPr>
          <w:rFonts w:eastAsia="Chivo" w:cstheme="minorHAnsi"/>
          <w:color w:val="222222"/>
          <w:lang w:val="es-AR"/>
        </w:rPr>
        <w:t xml:space="preserve">el 81,5% indicó que fue porque no las consiguieron a pesar de necesitarlas. Además, el 57% de las personas </w:t>
      </w:r>
      <w:r w:rsidR="00512614">
        <w:rPr>
          <w:rFonts w:eastAsia="Chivo" w:cstheme="minorHAnsi"/>
          <w:color w:val="222222"/>
          <w:lang w:val="es-AR"/>
        </w:rPr>
        <w:t>mencionó</w:t>
      </w:r>
      <w:r w:rsidRPr="003F612F">
        <w:rPr>
          <w:rFonts w:eastAsia="Chivo" w:cstheme="minorHAnsi"/>
          <w:color w:val="222222"/>
          <w:lang w:val="es-AR"/>
        </w:rPr>
        <w:t xml:space="preserve"> haber tenido problemas con la cobertura del personal de apoyo. En las escuelas también se observan otras formas de discriminación, tales como la imposición de jornadas reducidas, </w:t>
      </w:r>
      <w:proofErr w:type="spellStart"/>
      <w:r w:rsidRPr="003F612F">
        <w:rPr>
          <w:rFonts w:eastAsia="Chivo" w:cstheme="minorHAnsi"/>
          <w:color w:val="222222"/>
          <w:lang w:val="es-AR"/>
        </w:rPr>
        <w:t>repitencias</w:t>
      </w:r>
      <w:proofErr w:type="spellEnd"/>
      <w:r w:rsidRPr="003F612F">
        <w:rPr>
          <w:rFonts w:eastAsia="Chivo" w:cstheme="minorHAnsi"/>
          <w:color w:val="222222"/>
          <w:lang w:val="es-AR"/>
        </w:rPr>
        <w:t xml:space="preserve"> y la resistencia a modificar las formas de evaluación.</w:t>
      </w:r>
      <w:r w:rsidR="00624EA9">
        <w:rPr>
          <w:rFonts w:eastAsia="Chivo" w:cstheme="minorHAnsi"/>
          <w:color w:val="222222"/>
          <w:lang w:val="es-AR"/>
        </w:rPr>
        <w:t xml:space="preserve"> Tampoco se garantizan los ajustes razonables a los que se alude en el Informe País</w:t>
      </w:r>
      <w:r w:rsidR="00940520">
        <w:rPr>
          <w:rStyle w:val="Refdenotaalpie"/>
          <w:rFonts w:eastAsia="Chivo" w:cstheme="minorHAnsi"/>
          <w:color w:val="222222"/>
          <w:lang w:val="es-AR"/>
        </w:rPr>
        <w:footnoteReference w:id="91"/>
      </w:r>
      <w:r w:rsidR="00940520">
        <w:rPr>
          <w:rFonts w:eastAsia="Chivo" w:cstheme="minorHAnsi"/>
          <w:color w:val="222222"/>
          <w:lang w:val="es-AR"/>
        </w:rPr>
        <w:t>.</w:t>
      </w:r>
    </w:p>
    <w:p w14:paraId="08817F9E" w14:textId="5BF30E1E" w:rsidR="00C66A8F" w:rsidRDefault="009E5821" w:rsidP="00762BF9">
      <w:pPr>
        <w:widowControl w:val="0"/>
        <w:spacing w:after="200" w:line="276" w:lineRule="auto"/>
        <w:ind w:firstLine="720"/>
        <w:jc w:val="both"/>
      </w:pPr>
      <w:r>
        <w:t xml:space="preserve">La accesibilidad de los materiales para PCD visual no </w:t>
      </w:r>
      <w:r w:rsidR="00EF373A">
        <w:t xml:space="preserve">está garantizada por el Estado. Durante la pandemia </w:t>
      </w:r>
      <w:r w:rsidR="00496301">
        <w:t>el financiamiento de los</w:t>
      </w:r>
      <w:r w:rsidR="00EF373A">
        <w:t xml:space="preserve"> materiales del Programa Seguimos Educando fue</w:t>
      </w:r>
      <w:r w:rsidR="00496301">
        <w:t xml:space="preserve"> aportado por la Asociación </w:t>
      </w:r>
      <w:proofErr w:type="spellStart"/>
      <w:r w:rsidR="00496301">
        <w:t>Tiflonexos</w:t>
      </w:r>
      <w:proofErr w:type="spellEnd"/>
      <w:r w:rsidR="00496301">
        <w:t xml:space="preserve">, con </w:t>
      </w:r>
      <w:r w:rsidR="00A8008C">
        <w:t xml:space="preserve">fondos </w:t>
      </w:r>
      <w:r w:rsidR="00496301">
        <w:t>de la cooperación nacional e internacional</w:t>
      </w:r>
      <w:r w:rsidR="00A8008C">
        <w:rPr>
          <w:rStyle w:val="Refdenotaalpie"/>
        </w:rPr>
        <w:footnoteReference w:id="92"/>
      </w:r>
      <w:r w:rsidR="00496301">
        <w:t>. Tampoco se conoce</w:t>
      </w:r>
      <w:r w:rsidR="000F3C7C">
        <w:t>n datos sobre la cantidad de computadoras accesibles que se otorgan como parte del programa Conectar Igualdad.</w:t>
      </w:r>
    </w:p>
    <w:p w14:paraId="2A18E76B" w14:textId="41FC5624" w:rsidR="00853ABA" w:rsidRPr="003F612F" w:rsidRDefault="00B554C8" w:rsidP="00762BF9">
      <w:pPr>
        <w:widowControl w:val="0"/>
        <w:spacing w:after="200" w:line="276" w:lineRule="auto"/>
        <w:ind w:firstLine="720"/>
        <w:jc w:val="both"/>
        <w:rPr>
          <w:rFonts w:eastAsia="Chivo" w:cstheme="minorHAnsi"/>
          <w:color w:val="222222"/>
          <w:lang w:val="es-AR"/>
        </w:rPr>
      </w:pPr>
      <w:r>
        <w:t>L</w:t>
      </w:r>
      <w:r w:rsidRPr="00CB3753">
        <w:t xml:space="preserve">a Administración Provincial </w:t>
      </w:r>
      <w:r>
        <w:t>de Córdoba d</w:t>
      </w:r>
      <w:r w:rsidRPr="00CB3753">
        <w:t>el Seguro de Salud</w:t>
      </w:r>
      <w:r>
        <w:t xml:space="preserve"> continúa incumpliendo la</w:t>
      </w:r>
      <w:r w:rsidRPr="00CB3753">
        <w:t xml:space="preserve"> Medida Cautelar de la CIDH 376-15</w:t>
      </w:r>
      <w:r w:rsidR="0013755B">
        <w:rPr>
          <w:rStyle w:val="Refdenotaalpie"/>
        </w:rPr>
        <w:footnoteReference w:id="93"/>
      </w:r>
      <w:r>
        <w:t>, lo que lesiona el derecho a la inclusión socio-educativa de una joven con discapacidad múltiple.</w:t>
      </w:r>
    </w:p>
    <w:p w14:paraId="0270515F" w14:textId="1B1B5A5B" w:rsidR="00936C2C" w:rsidRPr="003F612F" w:rsidRDefault="00EF1380" w:rsidP="00762BF9">
      <w:pPr>
        <w:widowControl w:val="0"/>
        <w:spacing w:after="200" w:line="276" w:lineRule="auto"/>
        <w:ind w:firstLine="720"/>
        <w:jc w:val="both"/>
        <w:rPr>
          <w:rFonts w:eastAsia="Chivo" w:cstheme="minorHAnsi"/>
          <w:color w:val="222222"/>
          <w:lang w:val="es-AR"/>
        </w:rPr>
      </w:pPr>
      <w:r>
        <w:rPr>
          <w:rFonts w:eastAsia="Chivo" w:cstheme="minorHAnsi"/>
          <w:color w:val="222222"/>
          <w:lang w:val="es-AR"/>
        </w:rPr>
        <w:t xml:space="preserve">Persisten </w:t>
      </w:r>
      <w:r w:rsidR="006A7713">
        <w:rPr>
          <w:rFonts w:eastAsia="Chivo" w:cstheme="minorHAnsi"/>
          <w:color w:val="222222"/>
          <w:lang w:val="es-AR"/>
        </w:rPr>
        <w:t>también los</w:t>
      </w:r>
      <w:r w:rsidRPr="003F612F">
        <w:rPr>
          <w:rFonts w:eastAsia="Chivo" w:cstheme="minorHAnsi"/>
          <w:color w:val="222222"/>
          <w:lang w:val="es-AR"/>
        </w:rPr>
        <w:t xml:space="preserve"> </w:t>
      </w:r>
      <w:r w:rsidR="00936C2C" w:rsidRPr="003F612F">
        <w:rPr>
          <w:rFonts w:eastAsia="Chivo" w:cstheme="minorHAnsi"/>
          <w:color w:val="222222"/>
          <w:lang w:val="es-AR"/>
        </w:rPr>
        <w:t xml:space="preserve">obstáculos para certificar aprendizajes en igualdad de condiciones, </w:t>
      </w:r>
      <w:r w:rsidR="006A7713">
        <w:rPr>
          <w:rFonts w:eastAsia="Chivo" w:cstheme="minorHAnsi"/>
          <w:color w:val="222222"/>
          <w:lang w:val="es-AR"/>
        </w:rPr>
        <w:t xml:space="preserve">la </w:t>
      </w:r>
      <w:r w:rsidR="00936C2C" w:rsidRPr="003F612F">
        <w:rPr>
          <w:rFonts w:eastAsia="Chivo" w:cstheme="minorHAnsi"/>
          <w:color w:val="222222"/>
          <w:lang w:val="es-AR"/>
        </w:rPr>
        <w:t xml:space="preserve">ausencia de mecanismos independientes de reclamo y resolución adecuada y rápida frente a violaciones del derecho a la educación inclusiva, y la falta de formación docente en el modelo social de la discapacidad y el derecho a la educación inclusiva. </w:t>
      </w:r>
    </w:p>
    <w:p w14:paraId="3AB748D7" w14:textId="6E849DBB" w:rsidR="009A0194" w:rsidRDefault="002F4D5E" w:rsidP="00762BF9">
      <w:pPr>
        <w:widowControl w:val="0"/>
        <w:spacing w:after="200" w:line="276" w:lineRule="auto"/>
        <w:ind w:firstLine="720"/>
        <w:jc w:val="both"/>
        <w:rPr>
          <w:rFonts w:cstheme="minorHAnsi"/>
          <w:b/>
          <w:lang w:val="es-AR"/>
        </w:rPr>
      </w:pPr>
      <w:r w:rsidRPr="003F612F">
        <w:rPr>
          <w:rFonts w:cstheme="minorHAnsi"/>
          <w:lang w:val="es-AR"/>
        </w:rPr>
        <w:t xml:space="preserve">Ante la creciente incorporación de PCD al sistema universitario, muchas veces las propuestas y acciones se sostienen en paradigmas </w:t>
      </w:r>
      <w:proofErr w:type="spellStart"/>
      <w:r w:rsidRPr="003F612F">
        <w:rPr>
          <w:rFonts w:cstheme="minorHAnsi"/>
          <w:lang w:val="es-AR"/>
        </w:rPr>
        <w:t>capacitistas</w:t>
      </w:r>
      <w:proofErr w:type="spellEnd"/>
      <w:r w:rsidRPr="003F612F">
        <w:rPr>
          <w:rFonts w:cstheme="minorHAnsi"/>
          <w:lang w:val="es-AR"/>
        </w:rPr>
        <w:t xml:space="preserve">, segregacionistas y mercantilistas que reproducen barreras </w:t>
      </w:r>
      <w:r w:rsidRPr="003F612F">
        <w:rPr>
          <w:rFonts w:cstheme="minorHAnsi"/>
          <w:lang w:val="es-AR"/>
        </w:rPr>
        <w:lastRenderedPageBreak/>
        <w:t>de todo tipo. Se destaca el enorme esfuerzo de espacios de activismo académico en las universidades</w:t>
      </w:r>
      <w:r w:rsidRPr="003F612F">
        <w:rPr>
          <w:rStyle w:val="Refdenotaalpie"/>
          <w:rFonts w:cstheme="minorHAnsi"/>
          <w:lang w:val="es-AR"/>
        </w:rPr>
        <w:footnoteReference w:id="94"/>
      </w:r>
      <w:r w:rsidRPr="003F612F">
        <w:rPr>
          <w:rFonts w:cstheme="minorHAnsi"/>
          <w:lang w:val="es-AR"/>
        </w:rPr>
        <w:t xml:space="preserve"> ante la falta de respuesta de las autoridades competentes. </w:t>
      </w:r>
      <w:r w:rsidR="00E6589A">
        <w:rPr>
          <w:rFonts w:cstheme="minorHAnsi"/>
          <w:lang w:val="es-AR"/>
        </w:rPr>
        <w:t>Se</w:t>
      </w:r>
      <w:r w:rsidR="00062348">
        <w:rPr>
          <w:rFonts w:cstheme="minorHAnsi"/>
          <w:lang w:val="es-AR"/>
        </w:rPr>
        <w:t xml:space="preserve"> </w:t>
      </w:r>
      <w:r w:rsidR="00C561FB" w:rsidRPr="003F612F">
        <w:rPr>
          <w:rFonts w:cstheme="minorHAnsi"/>
          <w:lang w:val="es-AR"/>
        </w:rPr>
        <w:t>discontinuó el programa de Accesibilidad Física en edificios y predios de las Universidades Nacionales</w:t>
      </w:r>
      <w:r w:rsidR="00C561FB" w:rsidRPr="003F612F">
        <w:rPr>
          <w:rFonts w:cstheme="minorHAnsi"/>
          <w:vertAlign w:val="superscript"/>
          <w:lang w:val="es-AR"/>
        </w:rPr>
        <w:footnoteReference w:id="95"/>
      </w:r>
      <w:r w:rsidR="00C561FB" w:rsidRPr="003F612F">
        <w:rPr>
          <w:rFonts w:cstheme="minorHAnsi"/>
          <w:lang w:val="es-AR"/>
        </w:rPr>
        <w:t xml:space="preserve">. </w:t>
      </w:r>
      <w:bookmarkStart w:id="28" w:name="_Hlk125130839"/>
    </w:p>
    <w:bookmarkEnd w:id="28"/>
    <w:p w14:paraId="733036FC" w14:textId="4955B10F" w:rsidR="003C128F" w:rsidRPr="003F612F" w:rsidRDefault="003C128F" w:rsidP="00762BF9">
      <w:pPr>
        <w:widowControl w:val="0"/>
        <w:spacing w:after="200" w:line="276" w:lineRule="auto"/>
        <w:ind w:firstLine="720"/>
        <w:jc w:val="both"/>
        <w:rPr>
          <w:rFonts w:cstheme="minorHAnsi"/>
          <w:lang w:val="es-AR"/>
        </w:rPr>
      </w:pPr>
      <w:r>
        <w:rPr>
          <w:rFonts w:cstheme="minorHAnsi"/>
          <w:lang w:val="es-AR"/>
        </w:rPr>
        <w:t>Aunado a ello, r</w:t>
      </w:r>
      <w:r w:rsidRPr="003C128F">
        <w:rPr>
          <w:rFonts w:cstheme="minorHAnsi"/>
          <w:lang w:val="es-AR"/>
        </w:rPr>
        <w:t>esulta preocupante</w:t>
      </w:r>
      <w:r>
        <w:rPr>
          <w:rFonts w:cstheme="minorHAnsi"/>
          <w:lang w:val="es-AR"/>
        </w:rPr>
        <w:t xml:space="preserve"> la reciente</w:t>
      </w:r>
      <w:r w:rsidRPr="003C128F">
        <w:rPr>
          <w:rFonts w:cstheme="minorHAnsi"/>
          <w:lang w:val="es-AR"/>
        </w:rPr>
        <w:t xml:space="preserve"> creación de la Colonia de Vacaciones ANDIS, un dispositivo segregado, en lugar de profundizar en políticas más inclusivas para las PCD en las colonias ya existentes (Resolución 59/2023).</w:t>
      </w:r>
    </w:p>
    <w:p w14:paraId="586328D6" w14:textId="43D33935" w:rsidR="00E413A2" w:rsidRPr="003F612F" w:rsidRDefault="006A7713" w:rsidP="00762BF9">
      <w:pPr>
        <w:spacing w:after="240" w:line="276" w:lineRule="auto"/>
        <w:jc w:val="both"/>
        <w:rPr>
          <w:rFonts w:eastAsia="Times New Roman" w:cstheme="minorHAnsi"/>
          <w:b/>
          <w:bCs/>
          <w:i/>
          <w:iCs/>
          <w:color w:val="000000"/>
          <w:u w:val="single"/>
          <w:lang w:val="es-AR" w:eastAsia="en-GB"/>
        </w:rPr>
      </w:pPr>
      <w:r>
        <w:rPr>
          <w:rFonts w:eastAsia="Times New Roman" w:cstheme="minorHAnsi"/>
          <w:b/>
          <w:bCs/>
          <w:i/>
          <w:iCs/>
          <w:color w:val="000000"/>
          <w:u w:val="single"/>
          <w:lang w:val="es-AR" w:eastAsia="en-GB"/>
        </w:rPr>
        <w:t>Recomendaciones</w:t>
      </w:r>
      <w:r w:rsidRPr="003F612F">
        <w:rPr>
          <w:rFonts w:eastAsia="Times New Roman" w:cstheme="minorHAnsi"/>
          <w:b/>
          <w:bCs/>
          <w:i/>
          <w:iCs/>
          <w:color w:val="000000"/>
          <w:u w:val="single"/>
          <w:lang w:val="es-AR" w:eastAsia="en-GB"/>
        </w:rPr>
        <w:t xml:space="preserve"> </w:t>
      </w:r>
      <w:r w:rsidR="00E413A2" w:rsidRPr="003F612F">
        <w:rPr>
          <w:rFonts w:eastAsia="Times New Roman" w:cstheme="minorHAnsi"/>
          <w:b/>
          <w:bCs/>
          <w:i/>
          <w:iCs/>
          <w:color w:val="000000"/>
          <w:u w:val="single"/>
          <w:lang w:val="es-AR" w:eastAsia="en-GB"/>
        </w:rPr>
        <w:t>al Estado:</w:t>
      </w:r>
    </w:p>
    <w:p w14:paraId="14997ECD" w14:textId="748C8484" w:rsidR="003A5DE6" w:rsidRPr="003F612F" w:rsidRDefault="00F01DE2" w:rsidP="00762BF9">
      <w:pPr>
        <w:numPr>
          <w:ilvl w:val="0"/>
          <w:numId w:val="2"/>
        </w:numPr>
        <w:spacing w:after="240" w:line="276"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Implementar medidas para reducir </w:t>
      </w:r>
      <w:r w:rsidR="003A5DE6" w:rsidRPr="003F612F">
        <w:rPr>
          <w:rFonts w:eastAsia="Times New Roman" w:cstheme="minorHAnsi"/>
          <w:color w:val="000000"/>
          <w:lang w:eastAsia="en-GB"/>
        </w:rPr>
        <w:t xml:space="preserve">la matrícula de </w:t>
      </w:r>
      <w:r w:rsidR="003A5DE6">
        <w:rPr>
          <w:rFonts w:eastAsia="Times New Roman" w:cstheme="minorHAnsi"/>
          <w:color w:val="000000"/>
          <w:lang w:eastAsia="en-GB"/>
        </w:rPr>
        <w:t>estudiantes</w:t>
      </w:r>
      <w:r w:rsidR="003A5DE6" w:rsidRPr="003F612F">
        <w:rPr>
          <w:rFonts w:eastAsia="Times New Roman" w:cstheme="minorHAnsi"/>
          <w:color w:val="000000"/>
          <w:lang w:eastAsia="en-GB"/>
        </w:rPr>
        <w:t xml:space="preserve"> con discapacidad que</w:t>
      </w:r>
      <w:r w:rsidR="003A5DE6">
        <w:rPr>
          <w:rFonts w:eastAsia="Times New Roman" w:cstheme="minorHAnsi"/>
          <w:color w:val="000000"/>
          <w:lang w:eastAsia="en-GB"/>
        </w:rPr>
        <w:t xml:space="preserve"> asisten a escuelas especiales</w:t>
      </w:r>
      <w:r w:rsidR="003A5DE6" w:rsidRPr="003F612F">
        <w:rPr>
          <w:rFonts w:eastAsia="Times New Roman" w:cstheme="minorHAnsi"/>
          <w:color w:val="000000"/>
          <w:lang w:eastAsia="en-GB"/>
        </w:rPr>
        <w:t>, transformar y/o transferir sus recursos humanos y presupuestarios al sistema general</w:t>
      </w:r>
      <w:r w:rsidR="003A5DE6">
        <w:rPr>
          <w:rFonts w:eastAsia="Times New Roman" w:cstheme="minorHAnsi"/>
          <w:color w:val="000000"/>
          <w:lang w:eastAsia="en-GB"/>
        </w:rPr>
        <w:t>.</w:t>
      </w:r>
    </w:p>
    <w:p w14:paraId="5FA24295" w14:textId="77777777" w:rsidR="003A5DE6" w:rsidRPr="003F612F" w:rsidRDefault="003A5DE6" w:rsidP="00762BF9">
      <w:pPr>
        <w:numPr>
          <w:ilvl w:val="0"/>
          <w:numId w:val="2"/>
        </w:numPr>
        <w:spacing w:after="240" w:line="276"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Implementar </w:t>
      </w:r>
      <w:r w:rsidRPr="003F612F">
        <w:rPr>
          <w:rFonts w:eastAsia="Times New Roman" w:cstheme="minorHAnsi"/>
          <w:color w:val="000000"/>
          <w:lang w:eastAsia="en-GB"/>
        </w:rPr>
        <w:t>medidas para evitar las denegaciones discriminatorias de matrícula en escuelas comunes, tanto públicas como privadas, y las derivaciones a escuelas especiales</w:t>
      </w:r>
      <w:r>
        <w:rPr>
          <w:rFonts w:eastAsia="Times New Roman" w:cstheme="minorHAnsi"/>
          <w:color w:val="000000"/>
          <w:lang w:eastAsia="en-GB"/>
        </w:rPr>
        <w:t xml:space="preserve">. </w:t>
      </w:r>
    </w:p>
    <w:p w14:paraId="6EE12C3C" w14:textId="04C7B8E1" w:rsidR="003A5DE6" w:rsidRPr="003F612F" w:rsidRDefault="003A5DE6" w:rsidP="00762BF9">
      <w:pPr>
        <w:numPr>
          <w:ilvl w:val="0"/>
          <w:numId w:val="2"/>
        </w:numPr>
        <w:spacing w:after="240" w:line="276" w:lineRule="auto"/>
        <w:jc w:val="both"/>
        <w:textAlignment w:val="baseline"/>
        <w:rPr>
          <w:rFonts w:eastAsia="Times New Roman" w:cstheme="minorHAnsi"/>
          <w:color w:val="000000"/>
          <w:lang w:eastAsia="en-GB"/>
        </w:rPr>
      </w:pPr>
      <w:r>
        <w:rPr>
          <w:rFonts w:eastAsia="Times New Roman" w:cstheme="minorHAnsi"/>
          <w:color w:val="000000"/>
          <w:lang w:eastAsia="en-GB"/>
        </w:rPr>
        <w:t>Garantizar la</w:t>
      </w:r>
      <w:r w:rsidRPr="003F612F">
        <w:rPr>
          <w:rFonts w:eastAsia="Times New Roman" w:cstheme="minorHAnsi"/>
          <w:color w:val="000000"/>
          <w:lang w:eastAsia="en-GB"/>
        </w:rPr>
        <w:t xml:space="preserve"> accesibilidad plena de los establecimientos educativos comunes, y la provisión de </w:t>
      </w:r>
      <w:r w:rsidR="009279D6" w:rsidRPr="009279D6">
        <w:rPr>
          <w:rFonts w:eastAsia="Times New Roman" w:cstheme="minorHAnsi"/>
          <w:color w:val="000000"/>
          <w:lang w:eastAsia="en-GB"/>
        </w:rPr>
        <w:t>tecnologías asistidas</w:t>
      </w:r>
      <w:r w:rsidR="009279D6">
        <w:rPr>
          <w:rFonts w:eastAsia="Times New Roman" w:cstheme="minorHAnsi"/>
          <w:color w:val="000000"/>
          <w:lang w:eastAsia="en-GB"/>
        </w:rPr>
        <w:t xml:space="preserve"> y </w:t>
      </w:r>
      <w:r w:rsidRPr="003F612F">
        <w:rPr>
          <w:rFonts w:eastAsia="Times New Roman" w:cstheme="minorHAnsi"/>
          <w:color w:val="000000"/>
          <w:lang w:eastAsia="en-GB"/>
        </w:rPr>
        <w:t>apoyos en cantidad y calidad suficiente</w:t>
      </w:r>
      <w:r>
        <w:rPr>
          <w:rFonts w:eastAsia="Times New Roman" w:cstheme="minorHAnsi"/>
          <w:color w:val="000000"/>
          <w:lang w:eastAsia="en-GB"/>
        </w:rPr>
        <w:t>, proveyendo de la formación docente en e</w:t>
      </w:r>
      <w:r w:rsidRPr="003F612F">
        <w:rPr>
          <w:rFonts w:eastAsia="Times New Roman" w:cstheme="minorHAnsi"/>
          <w:color w:val="000000"/>
          <w:lang w:eastAsia="en-GB"/>
        </w:rPr>
        <w:t>ducación inclusiva</w:t>
      </w:r>
      <w:r>
        <w:rPr>
          <w:rFonts w:eastAsia="Times New Roman" w:cstheme="minorHAnsi"/>
          <w:color w:val="000000"/>
          <w:lang w:eastAsia="en-GB"/>
        </w:rPr>
        <w:t xml:space="preserve">. </w:t>
      </w:r>
    </w:p>
    <w:p w14:paraId="4F6AFF65" w14:textId="77777777" w:rsidR="003A5DE6" w:rsidRPr="00014A8C" w:rsidRDefault="003A5DE6" w:rsidP="00762BF9">
      <w:pPr>
        <w:numPr>
          <w:ilvl w:val="0"/>
          <w:numId w:val="2"/>
        </w:numPr>
        <w:spacing w:after="240" w:line="276"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Garantizar </w:t>
      </w:r>
      <w:r w:rsidRPr="003F612F">
        <w:rPr>
          <w:rFonts w:eastAsia="Times New Roman" w:cstheme="minorHAnsi"/>
          <w:color w:val="000000"/>
          <w:lang w:eastAsia="en-GB"/>
        </w:rPr>
        <w:t>la educación inclusiva en el nivel superior, incluyendo el acceso a la educación a distancia</w:t>
      </w:r>
      <w:r>
        <w:rPr>
          <w:rFonts w:eastAsia="Times New Roman" w:cstheme="minorHAnsi"/>
          <w:color w:val="000000"/>
          <w:lang w:eastAsia="en-GB"/>
        </w:rPr>
        <w:t xml:space="preserve">. </w:t>
      </w:r>
    </w:p>
    <w:p w14:paraId="56D49A6F" w14:textId="77777777" w:rsidR="003A5DE6" w:rsidRDefault="003A5DE6" w:rsidP="00762BF9">
      <w:pPr>
        <w:numPr>
          <w:ilvl w:val="0"/>
          <w:numId w:val="2"/>
        </w:numPr>
        <w:spacing w:after="240" w:line="276"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Avanzar </w:t>
      </w:r>
      <w:r w:rsidRPr="003F612F">
        <w:rPr>
          <w:rFonts w:eastAsia="Times New Roman" w:cstheme="minorHAnsi"/>
          <w:color w:val="000000"/>
          <w:lang w:eastAsia="en-GB"/>
        </w:rPr>
        <w:t>en la implementación de la Resolución 311/2016 en todo el territorio nacional</w:t>
      </w:r>
      <w:r>
        <w:rPr>
          <w:rFonts w:eastAsia="Times New Roman" w:cstheme="minorHAnsi"/>
          <w:color w:val="000000"/>
          <w:lang w:eastAsia="en-GB"/>
        </w:rPr>
        <w:t xml:space="preserve">. </w:t>
      </w:r>
    </w:p>
    <w:tbl>
      <w:tblPr>
        <w:tblStyle w:val="Tablaconcuadrcula"/>
        <w:tblW w:w="0" w:type="auto"/>
        <w:tblLook w:val="04A0" w:firstRow="1" w:lastRow="0" w:firstColumn="1" w:lastColumn="0" w:noHBand="0" w:noVBand="1"/>
      </w:tblPr>
      <w:tblGrid>
        <w:gridCol w:w="9736"/>
      </w:tblGrid>
      <w:tr w:rsidR="000A3890" w14:paraId="523A2FBD" w14:textId="77777777" w:rsidTr="000A3890">
        <w:tc>
          <w:tcPr>
            <w:tcW w:w="9736" w:type="dxa"/>
            <w:shd w:val="clear" w:color="auto" w:fill="D5DCE4" w:themeFill="text2" w:themeFillTint="33"/>
          </w:tcPr>
          <w:p w14:paraId="1495CF30" w14:textId="014D3012" w:rsidR="000A3890" w:rsidRPr="000A3890" w:rsidRDefault="000A3890" w:rsidP="00762BF9">
            <w:pPr>
              <w:pStyle w:val="Ttulo2"/>
              <w:spacing w:line="276" w:lineRule="auto"/>
              <w:jc w:val="center"/>
              <w:outlineLvl w:val="1"/>
              <w:rPr>
                <w:rFonts w:asciiTheme="minorHAnsi" w:eastAsia="Times New Roman" w:hAnsiTheme="minorHAnsi" w:cstheme="minorHAnsi"/>
                <w:b/>
                <w:bCs/>
                <w:color w:val="auto"/>
                <w:sz w:val="24"/>
                <w:szCs w:val="24"/>
                <w:lang w:val="es-AR" w:eastAsia="en-GB"/>
              </w:rPr>
            </w:pPr>
            <w:bookmarkStart w:id="29" w:name="_Toc124881450"/>
            <w:r w:rsidRPr="000A3890">
              <w:rPr>
                <w:rFonts w:asciiTheme="minorHAnsi" w:eastAsia="Times New Roman" w:hAnsiTheme="minorHAnsi" w:cstheme="minorHAnsi"/>
                <w:b/>
                <w:bCs/>
                <w:color w:val="auto"/>
                <w:sz w:val="24"/>
                <w:szCs w:val="24"/>
                <w:lang w:val="es-AR" w:eastAsia="en-GB"/>
              </w:rPr>
              <w:t>Artículo 25: Derecho a la Salud</w:t>
            </w:r>
            <w:bookmarkEnd w:id="29"/>
          </w:p>
        </w:tc>
      </w:tr>
    </w:tbl>
    <w:p w14:paraId="4CB77C80" w14:textId="7C0AB970" w:rsidR="00022325" w:rsidRPr="003F612F" w:rsidRDefault="00022325" w:rsidP="0077430D">
      <w:pPr>
        <w:spacing w:before="240" w:after="240" w:line="276" w:lineRule="auto"/>
        <w:ind w:firstLine="720"/>
        <w:jc w:val="both"/>
        <w:rPr>
          <w:rFonts w:cstheme="minorHAnsi"/>
          <w:iCs/>
          <w:lang w:val="es-AR"/>
        </w:rPr>
      </w:pPr>
      <w:r w:rsidRPr="003F612F">
        <w:rPr>
          <w:rFonts w:cstheme="minorHAnsi"/>
          <w:iCs/>
          <w:lang w:val="es-AR"/>
        </w:rPr>
        <w:t>Se observa un paulatino avance en los procesos de sustitución y adecuación de las instituciones monovalentes según lo dispuesto por la Ley Nacional de Salud Mental</w:t>
      </w:r>
      <w:r w:rsidRPr="003F612F">
        <w:rPr>
          <w:rStyle w:val="Refdenotaalpie"/>
          <w:rFonts w:cstheme="minorHAnsi"/>
          <w:iCs/>
          <w:lang w:val="es-AR"/>
        </w:rPr>
        <w:footnoteReference w:id="96"/>
      </w:r>
      <w:r w:rsidRPr="003F612F">
        <w:rPr>
          <w:rFonts w:cstheme="minorHAnsi"/>
          <w:iCs/>
          <w:lang w:val="es-AR"/>
        </w:rPr>
        <w:t>. Sin embargo, vemos con preocupación la inauguración</w:t>
      </w:r>
      <w:r w:rsidR="0077430D">
        <w:rPr>
          <w:rFonts w:cstheme="minorHAnsi"/>
          <w:iCs/>
          <w:lang w:val="es-AR"/>
        </w:rPr>
        <w:t xml:space="preserve">, </w:t>
      </w:r>
      <w:r w:rsidRPr="003F612F">
        <w:rPr>
          <w:rFonts w:cstheme="minorHAnsi"/>
          <w:iCs/>
          <w:lang w:val="es-AR"/>
        </w:rPr>
        <w:t xml:space="preserve">a fines de marzo de 2022, del Centro de Salud Mental “Dr. Diego Alcorta” en la provincia de Santiago del Estero con 92 camas de internación. Tal concentración de recursos en un único centro de salud constituye una transgresión a los principios fundamentales de la legislación vigente que prevé la rehabilitación y la inclusión en la comunidad para las </w:t>
      </w:r>
      <w:r w:rsidR="008A5AE0" w:rsidRPr="003F612F">
        <w:rPr>
          <w:rFonts w:cstheme="minorHAnsi"/>
          <w:iCs/>
          <w:lang w:val="es-AR"/>
        </w:rPr>
        <w:t>PCD</w:t>
      </w:r>
      <w:r w:rsidRPr="003F612F">
        <w:rPr>
          <w:rFonts w:cstheme="minorHAnsi"/>
          <w:iCs/>
          <w:lang w:val="es-AR"/>
        </w:rPr>
        <w:t xml:space="preserve"> psicosocial (PCDIPS).  </w:t>
      </w:r>
    </w:p>
    <w:p w14:paraId="36300701" w14:textId="3A615BD4" w:rsidR="00022325" w:rsidRDefault="00022325" w:rsidP="00762BF9">
      <w:pPr>
        <w:spacing w:after="240" w:line="276" w:lineRule="auto"/>
        <w:ind w:firstLine="720"/>
        <w:jc w:val="both"/>
        <w:rPr>
          <w:rFonts w:cstheme="minorHAnsi"/>
          <w:iCs/>
          <w:lang w:val="es-AR"/>
        </w:rPr>
      </w:pPr>
      <w:r w:rsidRPr="003F612F">
        <w:rPr>
          <w:rFonts w:cstheme="minorHAnsi"/>
          <w:iCs/>
          <w:lang w:val="es-AR"/>
        </w:rPr>
        <w:t xml:space="preserve">En cuanto a los Órganos de Revisión Locales de Salud Mental (ORL), previstos por la ley y necesarios para proteger los derechos de las PCDIPS, al momento no todas las jurisdicciones cuentan con dicha entidad reguladora. Asimismo, observamos que el acceso a la información pública de los ORL resulta insuficiente. </w:t>
      </w:r>
    </w:p>
    <w:p w14:paraId="351A805F" w14:textId="77777777" w:rsidR="00B12DA5" w:rsidRPr="003F612F" w:rsidRDefault="00B12DA5" w:rsidP="00762BF9">
      <w:pPr>
        <w:pStyle w:val="NormalWeb"/>
        <w:spacing w:before="0" w:beforeAutospacing="0" w:after="200" w:afterAutospacing="0" w:line="276" w:lineRule="auto"/>
        <w:ind w:firstLine="720"/>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Por su parte, e</w:t>
      </w:r>
      <w:r w:rsidRPr="003F612F">
        <w:rPr>
          <w:rFonts w:asciiTheme="minorHAnsi" w:hAnsiTheme="minorHAnsi" w:cstheme="minorHAnsi"/>
          <w:color w:val="000000"/>
          <w:sz w:val="22"/>
          <w:szCs w:val="22"/>
          <w:lang w:val="es-AR"/>
        </w:rPr>
        <w:t xml:space="preserve">n abril de 2022 se lanzó la Estrategia Federal de Abordaje Integral de la Salud Mental. Esta incluye una serie de acciones de prevención, promoción y de asistencia que serán impulsadas desde el </w:t>
      </w:r>
      <w:r w:rsidRPr="003F612F">
        <w:rPr>
          <w:rFonts w:asciiTheme="minorHAnsi" w:hAnsiTheme="minorHAnsi" w:cstheme="minorHAnsi"/>
          <w:color w:val="000000"/>
          <w:sz w:val="22"/>
          <w:szCs w:val="22"/>
          <w:lang w:val="es-AR"/>
        </w:rPr>
        <w:lastRenderedPageBreak/>
        <w:t>Ministerio de Salud. Sin embargo, la Estrategia no cuenta con programas concretos y un plan detallado de puesta en práctica. Además, en materia presupuestaria, el anuncio no se traduce en una variación efectiva en las partidas</w:t>
      </w:r>
      <w:r>
        <w:rPr>
          <w:rFonts w:asciiTheme="minorHAnsi" w:hAnsiTheme="minorHAnsi" w:cstheme="minorHAnsi"/>
          <w:color w:val="000000"/>
          <w:sz w:val="22"/>
          <w:szCs w:val="22"/>
          <w:lang w:val="es-AR"/>
        </w:rPr>
        <w:t xml:space="preserve"> </w:t>
      </w:r>
      <w:r w:rsidRPr="003F612F">
        <w:rPr>
          <w:rFonts w:asciiTheme="minorHAnsi" w:hAnsiTheme="minorHAnsi" w:cstheme="minorHAnsi"/>
          <w:color w:val="000000"/>
          <w:sz w:val="22"/>
          <w:szCs w:val="22"/>
          <w:lang w:val="es-AR"/>
        </w:rPr>
        <w:t>y tampoco representa el 10% del gasto total de salud estipulado por ley. </w:t>
      </w:r>
    </w:p>
    <w:p w14:paraId="01A6D549" w14:textId="619D6E29" w:rsidR="00022325" w:rsidRPr="003F612F" w:rsidRDefault="00E14166" w:rsidP="00762BF9">
      <w:pPr>
        <w:spacing w:after="240" w:line="276" w:lineRule="auto"/>
        <w:ind w:firstLine="720"/>
        <w:jc w:val="both"/>
        <w:rPr>
          <w:rFonts w:cstheme="minorHAnsi"/>
          <w:iCs/>
          <w:lang w:val="es-AR"/>
        </w:rPr>
      </w:pPr>
      <w:r w:rsidRPr="003F612F">
        <w:rPr>
          <w:rFonts w:cstheme="minorHAnsi"/>
          <w:iCs/>
          <w:lang w:val="es-AR"/>
        </w:rPr>
        <w:t>Respecto a los derechos sexuales y (no) reproductivos de las mujeres y niñas l</w:t>
      </w:r>
      <w:r w:rsidR="00022325" w:rsidRPr="003F612F">
        <w:rPr>
          <w:rFonts w:cstheme="minorHAnsi"/>
          <w:iCs/>
          <w:lang w:val="es-AR"/>
        </w:rPr>
        <w:t>os establecimientos han avanzado, aunque de manera dispar en las diferentes provincias del país, en materia de accesibilidad para el ingreso y permanencia de PCD</w:t>
      </w:r>
      <w:r w:rsidR="00A14096" w:rsidRPr="003F612F">
        <w:rPr>
          <w:rFonts w:cstheme="minorHAnsi"/>
          <w:iCs/>
          <w:lang w:val="es-AR"/>
        </w:rPr>
        <w:t xml:space="preserve">. </w:t>
      </w:r>
      <w:r w:rsidR="00022325" w:rsidRPr="003F612F">
        <w:rPr>
          <w:rFonts w:cstheme="minorHAnsi"/>
          <w:iCs/>
          <w:lang w:val="es-AR"/>
        </w:rPr>
        <w:t>Pero seguimos advirtiendo la</w:t>
      </w:r>
      <w:r w:rsidR="00C14A61">
        <w:rPr>
          <w:rFonts w:cstheme="minorHAnsi"/>
          <w:iCs/>
          <w:lang w:val="es-AR"/>
        </w:rPr>
        <w:t xml:space="preserve"> ausencia de: i) </w:t>
      </w:r>
      <w:r w:rsidR="00022325" w:rsidRPr="003F612F">
        <w:rPr>
          <w:rFonts w:cstheme="minorHAnsi"/>
          <w:iCs/>
          <w:lang w:val="es-AR"/>
        </w:rPr>
        <w:t xml:space="preserve">mobiliario y equipamiento adecuado para estudios ginecológicos; </w:t>
      </w:r>
      <w:r w:rsidR="00C14A61">
        <w:rPr>
          <w:rFonts w:cstheme="minorHAnsi"/>
          <w:iCs/>
          <w:lang w:val="es-AR"/>
        </w:rPr>
        <w:t>ii)</w:t>
      </w:r>
      <w:r w:rsidR="00022325" w:rsidRPr="003F612F">
        <w:rPr>
          <w:rFonts w:cstheme="minorHAnsi"/>
          <w:iCs/>
          <w:lang w:val="es-AR"/>
        </w:rPr>
        <w:t xml:space="preserve"> intérpretes de LSA; </w:t>
      </w:r>
      <w:r w:rsidR="00C14A61">
        <w:rPr>
          <w:rFonts w:cstheme="minorHAnsi"/>
          <w:iCs/>
          <w:lang w:val="es-AR"/>
        </w:rPr>
        <w:t xml:space="preserve">iii) </w:t>
      </w:r>
      <w:r w:rsidR="008A5AE0" w:rsidRPr="003F612F">
        <w:rPr>
          <w:rFonts w:cstheme="minorHAnsi"/>
          <w:iCs/>
          <w:lang w:val="es-AR"/>
        </w:rPr>
        <w:t>señalética para PCD visual y auditiva</w:t>
      </w:r>
      <w:r w:rsidR="00022325" w:rsidRPr="003F612F">
        <w:rPr>
          <w:rFonts w:cstheme="minorHAnsi"/>
          <w:iCs/>
          <w:lang w:val="es-AR"/>
        </w:rPr>
        <w:t xml:space="preserve">; </w:t>
      </w:r>
      <w:proofErr w:type="gramStart"/>
      <w:r w:rsidR="00022325" w:rsidRPr="003F612F">
        <w:rPr>
          <w:rFonts w:cstheme="minorHAnsi"/>
          <w:iCs/>
          <w:lang w:val="es-AR"/>
        </w:rPr>
        <w:t>y</w:t>
      </w:r>
      <w:proofErr w:type="gramEnd"/>
      <w:r w:rsidR="00C14A61">
        <w:rPr>
          <w:rFonts w:cstheme="minorHAnsi"/>
          <w:iCs/>
          <w:lang w:val="es-AR"/>
        </w:rPr>
        <w:t xml:space="preserve"> iv) </w:t>
      </w:r>
      <w:r w:rsidR="00022325" w:rsidRPr="003F612F">
        <w:rPr>
          <w:rFonts w:cstheme="minorHAnsi"/>
          <w:iCs/>
          <w:lang w:val="es-AR"/>
        </w:rPr>
        <w:t>información accesible sobre métodos anticonceptivos y prevención de enfermedades de transmisión sexual</w:t>
      </w:r>
      <w:r w:rsidR="006D4FA0">
        <w:rPr>
          <w:rStyle w:val="Refdenotaalpie"/>
          <w:rFonts w:cstheme="minorHAnsi"/>
          <w:iCs/>
          <w:lang w:val="es-AR"/>
        </w:rPr>
        <w:footnoteReference w:id="97"/>
      </w:r>
      <w:r w:rsidR="00022325" w:rsidRPr="003F612F">
        <w:rPr>
          <w:rFonts w:cstheme="minorHAnsi"/>
          <w:iCs/>
          <w:lang w:val="es-AR"/>
        </w:rPr>
        <w:t xml:space="preserve">. </w:t>
      </w:r>
    </w:p>
    <w:p w14:paraId="78510AE9" w14:textId="4A5B4223" w:rsidR="00022325" w:rsidRPr="003F612F" w:rsidRDefault="00022325" w:rsidP="00762BF9">
      <w:pPr>
        <w:spacing w:after="240" w:line="276" w:lineRule="auto"/>
        <w:ind w:firstLine="720"/>
        <w:jc w:val="both"/>
        <w:rPr>
          <w:rFonts w:cstheme="minorHAnsi"/>
          <w:iCs/>
          <w:lang w:val="es-AR"/>
        </w:rPr>
      </w:pPr>
      <w:r w:rsidRPr="003F612F">
        <w:rPr>
          <w:rFonts w:cstheme="minorHAnsi"/>
          <w:iCs/>
          <w:lang w:val="es-AR"/>
        </w:rPr>
        <w:t>La Ley Nacional</w:t>
      </w:r>
      <w:r w:rsidR="00C14A61">
        <w:rPr>
          <w:rFonts w:cstheme="minorHAnsi"/>
          <w:iCs/>
          <w:lang w:val="es-AR"/>
        </w:rPr>
        <w:t xml:space="preserve"> </w:t>
      </w:r>
      <w:r w:rsidRPr="003F612F">
        <w:rPr>
          <w:rFonts w:cstheme="minorHAnsi"/>
          <w:iCs/>
          <w:lang w:val="es-AR"/>
        </w:rPr>
        <w:t>25.929</w:t>
      </w:r>
      <w:r w:rsidR="00C14A61">
        <w:rPr>
          <w:rFonts w:cstheme="minorHAnsi"/>
          <w:iCs/>
          <w:lang w:val="es-AR"/>
        </w:rPr>
        <w:t xml:space="preserve"> </w:t>
      </w:r>
      <w:r w:rsidR="00C14A61" w:rsidRPr="003F612F">
        <w:rPr>
          <w:rFonts w:cstheme="minorHAnsi"/>
          <w:iCs/>
          <w:lang w:val="es-AR"/>
        </w:rPr>
        <w:t>sobre Parto Humanizado</w:t>
      </w:r>
      <w:r w:rsidRPr="003F612F">
        <w:rPr>
          <w:rStyle w:val="Refdenotaalpie"/>
          <w:rFonts w:cstheme="minorHAnsi"/>
          <w:iCs/>
          <w:lang w:val="es-AR"/>
        </w:rPr>
        <w:footnoteReference w:id="98"/>
      </w:r>
      <w:r w:rsidRPr="003F612F">
        <w:rPr>
          <w:rFonts w:cstheme="minorHAnsi"/>
          <w:iCs/>
          <w:lang w:val="es-AR"/>
        </w:rPr>
        <w:t>, no cuenta con perspectiva de discapacidad, por lo que no se contempla como parte de las obligaciones del sistema de salud y de las obras sociales la presencia de intérpretes de LSA en instituciones donde la persona gestante va a parir.</w:t>
      </w:r>
    </w:p>
    <w:p w14:paraId="4B208F16" w14:textId="1AB9041E" w:rsidR="00022325" w:rsidRPr="003F612F" w:rsidRDefault="003A3760" w:rsidP="00762BF9">
      <w:pPr>
        <w:pStyle w:val="NormalWeb"/>
        <w:spacing w:before="0" w:beforeAutospacing="0" w:after="200" w:afterAutospacing="0" w:line="276" w:lineRule="auto"/>
        <w:ind w:firstLine="720"/>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Cabe decir que, s</w:t>
      </w:r>
      <w:r w:rsidR="00022325" w:rsidRPr="003F612F">
        <w:rPr>
          <w:rFonts w:asciiTheme="minorHAnsi" w:hAnsiTheme="minorHAnsi" w:cstheme="minorHAnsi"/>
          <w:color w:val="000000"/>
          <w:sz w:val="22"/>
          <w:szCs w:val="22"/>
          <w:lang w:val="es-AR"/>
        </w:rPr>
        <w:t>egún datos brindados por la Provincia de Buenos Aires</w:t>
      </w:r>
      <w:r>
        <w:rPr>
          <w:rFonts w:asciiTheme="minorHAnsi" w:hAnsiTheme="minorHAnsi" w:cstheme="minorHAnsi"/>
          <w:color w:val="000000"/>
          <w:sz w:val="22"/>
          <w:szCs w:val="22"/>
          <w:lang w:val="es-AR"/>
        </w:rPr>
        <w:t xml:space="preserve">, </w:t>
      </w:r>
      <w:r w:rsidR="00022325" w:rsidRPr="003F612F">
        <w:rPr>
          <w:rFonts w:asciiTheme="minorHAnsi" w:hAnsiTheme="minorHAnsi" w:cstheme="minorHAnsi"/>
          <w:color w:val="000000"/>
          <w:sz w:val="22"/>
          <w:szCs w:val="22"/>
          <w:lang w:val="es-AR"/>
        </w:rPr>
        <w:t xml:space="preserve">donde se concentra la mayor parte de las internaciones en el país, </w:t>
      </w:r>
      <w:r w:rsidR="00022325" w:rsidRPr="003F612F">
        <w:rPr>
          <w:rFonts w:asciiTheme="minorHAnsi" w:hAnsiTheme="minorHAnsi" w:cstheme="minorHAnsi"/>
          <w:b/>
          <w:bCs/>
          <w:color w:val="000000"/>
          <w:sz w:val="22"/>
          <w:szCs w:val="22"/>
          <w:lang w:val="es-AR"/>
        </w:rPr>
        <w:t>el 80% de las internaciones en instituciones de salud mental monovalentes son involuntarias,</w:t>
      </w:r>
      <w:r w:rsidR="00022325" w:rsidRPr="003F612F">
        <w:rPr>
          <w:rFonts w:asciiTheme="minorHAnsi" w:hAnsiTheme="minorHAnsi" w:cstheme="minorHAnsi"/>
          <w:color w:val="000000"/>
          <w:sz w:val="22"/>
          <w:szCs w:val="22"/>
          <w:lang w:val="es-AR"/>
        </w:rPr>
        <w:t xml:space="preserve"> lo cual genera alarma sobre la forma en que se están llevando a cabo y la falta de implementación de apoyos para brindar consentimiento en la atención sanitaria. </w:t>
      </w:r>
    </w:p>
    <w:p w14:paraId="3B1E0E1E" w14:textId="6AE74EDA" w:rsidR="00022325" w:rsidRPr="003F612F" w:rsidRDefault="003C591C" w:rsidP="00762BF9">
      <w:pPr>
        <w:spacing w:after="240" w:line="276" w:lineRule="auto"/>
        <w:ind w:firstLine="720"/>
        <w:jc w:val="both"/>
        <w:rPr>
          <w:rFonts w:cstheme="minorHAnsi"/>
          <w:lang w:val="es-AR"/>
        </w:rPr>
      </w:pPr>
      <w:r>
        <w:rPr>
          <w:rFonts w:cstheme="minorHAnsi"/>
          <w:lang w:val="es-AR"/>
        </w:rPr>
        <w:t>Las</w:t>
      </w:r>
      <w:r w:rsidR="00022325" w:rsidRPr="003F612F">
        <w:rPr>
          <w:rFonts w:cstheme="minorHAnsi"/>
          <w:lang w:val="es-AR"/>
        </w:rPr>
        <w:t xml:space="preserve"> </w:t>
      </w:r>
      <w:r w:rsidR="00022325" w:rsidRPr="003F612F">
        <w:rPr>
          <w:rFonts w:cstheme="minorHAnsi"/>
          <w:iCs/>
          <w:lang w:val="es-AR"/>
        </w:rPr>
        <w:t>PCD</w:t>
      </w:r>
      <w:r w:rsidR="009279D6">
        <w:rPr>
          <w:rFonts w:cstheme="minorHAnsi"/>
          <w:iCs/>
          <w:lang w:val="es-AR"/>
        </w:rPr>
        <w:t xml:space="preserve"> </w:t>
      </w:r>
      <w:r w:rsidR="00191ABC">
        <w:rPr>
          <w:rFonts w:cstheme="minorHAnsi"/>
          <w:iCs/>
          <w:lang w:val="es-AR"/>
        </w:rPr>
        <w:t>psicosocial</w:t>
      </w:r>
      <w:r w:rsidR="00022325" w:rsidRPr="003F612F">
        <w:rPr>
          <w:rFonts w:cstheme="minorHAnsi"/>
          <w:lang w:val="es-AR"/>
        </w:rPr>
        <w:t xml:space="preserve"> se ven afectadas por la burocracia de los registros hasta constituirse en una violencia institucional, ya que no se logra cumplir con la ley vigente. En materia de establecimientos de salud pública existe solo una guardia de salud mental para toda la provincia y son escasos los psiquiatras y los turnos están desbordados</w:t>
      </w:r>
      <w:r w:rsidR="00022325" w:rsidRPr="003F612F">
        <w:rPr>
          <w:rStyle w:val="Refdenotaalpie"/>
          <w:rFonts w:cstheme="minorHAnsi"/>
          <w:lang w:val="es-AR"/>
        </w:rPr>
        <w:footnoteReference w:id="99"/>
      </w:r>
      <w:r w:rsidR="00022325" w:rsidRPr="003F612F">
        <w:rPr>
          <w:rFonts w:cstheme="minorHAnsi"/>
          <w:lang w:val="es-AR"/>
        </w:rPr>
        <w:t xml:space="preserve">. </w:t>
      </w:r>
    </w:p>
    <w:p w14:paraId="53157F8A" w14:textId="01B64075" w:rsidR="00022325" w:rsidRPr="003F612F" w:rsidRDefault="00307202" w:rsidP="00762BF9">
      <w:pPr>
        <w:pStyle w:val="NormalWeb"/>
        <w:spacing w:before="0" w:beforeAutospacing="0" w:after="200" w:afterAutospacing="0" w:line="276" w:lineRule="auto"/>
        <w:jc w:val="both"/>
        <w:rPr>
          <w:rFonts w:asciiTheme="minorHAnsi" w:hAnsiTheme="minorHAnsi" w:cstheme="minorHAnsi"/>
          <w:b/>
          <w:bCs/>
          <w:i/>
          <w:iCs/>
          <w:color w:val="000000"/>
          <w:sz w:val="22"/>
          <w:szCs w:val="22"/>
          <w:u w:val="single"/>
          <w:lang w:val="es-AR"/>
        </w:rPr>
      </w:pPr>
      <w:r>
        <w:rPr>
          <w:rFonts w:asciiTheme="minorHAnsi" w:hAnsiTheme="minorHAnsi" w:cstheme="minorHAnsi"/>
          <w:b/>
          <w:bCs/>
          <w:i/>
          <w:iCs/>
          <w:color w:val="000000"/>
          <w:sz w:val="22"/>
          <w:szCs w:val="22"/>
          <w:u w:val="single"/>
          <w:lang w:val="es-AR"/>
        </w:rPr>
        <w:t>Recomendaciones</w:t>
      </w:r>
      <w:r w:rsidRPr="003F612F">
        <w:rPr>
          <w:rFonts w:asciiTheme="minorHAnsi" w:hAnsiTheme="minorHAnsi" w:cstheme="minorHAnsi"/>
          <w:b/>
          <w:bCs/>
          <w:i/>
          <w:iCs/>
          <w:color w:val="000000"/>
          <w:sz w:val="22"/>
          <w:szCs w:val="22"/>
          <w:u w:val="single"/>
          <w:lang w:val="es-AR"/>
        </w:rPr>
        <w:t xml:space="preserve"> </w:t>
      </w:r>
      <w:r w:rsidR="00022325" w:rsidRPr="003F612F">
        <w:rPr>
          <w:rFonts w:asciiTheme="minorHAnsi" w:hAnsiTheme="minorHAnsi" w:cstheme="minorHAnsi"/>
          <w:b/>
          <w:bCs/>
          <w:i/>
          <w:iCs/>
          <w:color w:val="000000"/>
          <w:sz w:val="22"/>
          <w:szCs w:val="22"/>
          <w:u w:val="single"/>
          <w:lang w:val="es-AR"/>
        </w:rPr>
        <w:t>sugeridas para el Estado:</w:t>
      </w:r>
    </w:p>
    <w:p w14:paraId="280F6D17" w14:textId="04AFAE6B" w:rsidR="009279D6" w:rsidRDefault="009279D6" w:rsidP="00762BF9">
      <w:pPr>
        <w:pStyle w:val="NormalWeb"/>
        <w:numPr>
          <w:ilvl w:val="0"/>
          <w:numId w:val="15"/>
        </w:numPr>
        <w:spacing w:before="0" w:beforeAutospacing="0" w:after="200" w:afterAutospacing="0" w:line="276" w:lineRule="auto"/>
        <w:ind w:left="426"/>
        <w:jc w:val="both"/>
        <w:rPr>
          <w:rFonts w:asciiTheme="minorHAnsi" w:hAnsiTheme="minorHAnsi" w:cstheme="minorHAnsi"/>
          <w:color w:val="000000"/>
          <w:sz w:val="22"/>
          <w:szCs w:val="22"/>
          <w:lang w:val="es-AR"/>
        </w:rPr>
      </w:pPr>
      <w:r w:rsidRPr="009279D6">
        <w:rPr>
          <w:rFonts w:asciiTheme="minorHAnsi" w:hAnsiTheme="minorHAnsi" w:cstheme="minorHAnsi"/>
          <w:color w:val="000000"/>
          <w:sz w:val="22"/>
          <w:szCs w:val="22"/>
          <w:lang w:val="es-AR"/>
        </w:rPr>
        <w:t>Garantizar la accesibilidad de manera transversal y contemplando los ciclos de vida a través de medidas adoptadas desde el Ministerio de Salud de la Nación, los ministerios de salud de las diversas jurisdicciones y los centros de salud en general.</w:t>
      </w:r>
    </w:p>
    <w:p w14:paraId="4EDD3E53" w14:textId="77777777" w:rsidR="00FE164E" w:rsidRPr="003F612F" w:rsidRDefault="00FE164E" w:rsidP="00762BF9">
      <w:pPr>
        <w:pStyle w:val="NormalWeb"/>
        <w:numPr>
          <w:ilvl w:val="0"/>
          <w:numId w:val="15"/>
        </w:numPr>
        <w:spacing w:before="0" w:beforeAutospacing="0" w:after="200" w:afterAutospacing="0" w:line="276" w:lineRule="auto"/>
        <w:ind w:left="426"/>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 xml:space="preserve">Avanzar en </w:t>
      </w:r>
      <w:r w:rsidRPr="003F612F">
        <w:rPr>
          <w:rFonts w:asciiTheme="minorHAnsi" w:hAnsiTheme="minorHAnsi" w:cstheme="minorHAnsi"/>
          <w:color w:val="000000"/>
          <w:sz w:val="22"/>
          <w:szCs w:val="22"/>
          <w:lang w:val="es-AR"/>
        </w:rPr>
        <w:t xml:space="preserve">el cierre progresivo de los </w:t>
      </w:r>
      <w:r>
        <w:rPr>
          <w:rFonts w:asciiTheme="minorHAnsi" w:hAnsiTheme="minorHAnsi" w:cstheme="minorHAnsi"/>
          <w:color w:val="000000"/>
          <w:sz w:val="22"/>
          <w:szCs w:val="22"/>
          <w:lang w:val="es-AR"/>
        </w:rPr>
        <w:t>m</w:t>
      </w:r>
      <w:r w:rsidRPr="003F612F">
        <w:rPr>
          <w:rFonts w:asciiTheme="minorHAnsi" w:hAnsiTheme="minorHAnsi" w:cstheme="minorHAnsi"/>
          <w:color w:val="000000"/>
          <w:sz w:val="22"/>
          <w:szCs w:val="22"/>
          <w:lang w:val="es-AR"/>
        </w:rPr>
        <w:t>anicomios y la atención de salud mental en la comunidad</w:t>
      </w:r>
      <w:r>
        <w:rPr>
          <w:rFonts w:asciiTheme="minorHAnsi" w:hAnsiTheme="minorHAnsi" w:cstheme="minorHAnsi"/>
          <w:color w:val="000000"/>
          <w:sz w:val="22"/>
          <w:szCs w:val="22"/>
          <w:lang w:val="es-AR"/>
        </w:rPr>
        <w:t xml:space="preserve">. </w:t>
      </w:r>
    </w:p>
    <w:p w14:paraId="18ACCA99" w14:textId="77777777" w:rsidR="00FE164E" w:rsidRDefault="00FE164E" w:rsidP="00762BF9">
      <w:pPr>
        <w:pStyle w:val="NormalWeb"/>
        <w:numPr>
          <w:ilvl w:val="0"/>
          <w:numId w:val="15"/>
        </w:numPr>
        <w:spacing w:before="0" w:beforeAutospacing="0" w:after="200" w:afterAutospacing="0" w:line="276" w:lineRule="auto"/>
        <w:ind w:left="426"/>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 xml:space="preserve">Garantizar que </w:t>
      </w:r>
      <w:r w:rsidRPr="003F612F">
        <w:rPr>
          <w:rFonts w:asciiTheme="minorHAnsi" w:hAnsiTheme="minorHAnsi" w:cstheme="minorHAnsi"/>
          <w:color w:val="000000"/>
          <w:sz w:val="22"/>
          <w:szCs w:val="22"/>
          <w:lang w:val="es-AR"/>
        </w:rPr>
        <w:t xml:space="preserve">las </w:t>
      </w:r>
      <w:r>
        <w:rPr>
          <w:rFonts w:asciiTheme="minorHAnsi" w:hAnsiTheme="minorHAnsi" w:cstheme="minorHAnsi"/>
          <w:color w:val="000000"/>
          <w:sz w:val="22"/>
          <w:szCs w:val="22"/>
          <w:lang w:val="es-AR"/>
        </w:rPr>
        <w:t>PCD</w:t>
      </w:r>
      <w:r w:rsidRPr="003F612F">
        <w:rPr>
          <w:rFonts w:asciiTheme="minorHAnsi" w:hAnsiTheme="minorHAnsi" w:cstheme="minorHAnsi"/>
          <w:color w:val="000000"/>
          <w:sz w:val="22"/>
          <w:szCs w:val="22"/>
          <w:lang w:val="es-AR"/>
        </w:rPr>
        <w:t xml:space="preserve"> puedan brindar consentimiento informado en los procesos de salud</w:t>
      </w:r>
      <w:r>
        <w:rPr>
          <w:rFonts w:asciiTheme="minorHAnsi" w:hAnsiTheme="minorHAnsi" w:cstheme="minorHAnsi"/>
          <w:color w:val="000000"/>
          <w:sz w:val="22"/>
          <w:szCs w:val="22"/>
          <w:lang w:val="es-AR"/>
        </w:rPr>
        <w:t>.</w:t>
      </w:r>
    </w:p>
    <w:tbl>
      <w:tblPr>
        <w:tblStyle w:val="Tablaconcuadrcula"/>
        <w:tblW w:w="0" w:type="auto"/>
        <w:tblInd w:w="66" w:type="dxa"/>
        <w:tblLook w:val="04A0" w:firstRow="1" w:lastRow="0" w:firstColumn="1" w:lastColumn="0" w:noHBand="0" w:noVBand="1"/>
      </w:tblPr>
      <w:tblGrid>
        <w:gridCol w:w="9736"/>
      </w:tblGrid>
      <w:tr w:rsidR="00244A91" w14:paraId="50F3E275" w14:textId="77777777" w:rsidTr="00244A91">
        <w:tc>
          <w:tcPr>
            <w:tcW w:w="9736" w:type="dxa"/>
            <w:shd w:val="clear" w:color="auto" w:fill="D5DCE4" w:themeFill="text2" w:themeFillTint="33"/>
          </w:tcPr>
          <w:p w14:paraId="0696597E" w14:textId="279CA3F3" w:rsidR="00244A91" w:rsidRPr="00244A91" w:rsidRDefault="00244A91" w:rsidP="00762BF9">
            <w:pPr>
              <w:pStyle w:val="Ttulo2"/>
              <w:spacing w:line="276" w:lineRule="auto"/>
              <w:jc w:val="center"/>
              <w:outlineLvl w:val="1"/>
              <w:rPr>
                <w:rFonts w:asciiTheme="minorHAnsi" w:hAnsiTheme="minorHAnsi" w:cstheme="minorHAnsi"/>
                <w:b/>
                <w:bCs/>
                <w:color w:val="auto"/>
                <w:sz w:val="24"/>
                <w:szCs w:val="24"/>
                <w:lang w:val="es-AR"/>
              </w:rPr>
            </w:pPr>
            <w:bookmarkStart w:id="30" w:name="_Toc124881451"/>
            <w:r w:rsidRPr="00244A91">
              <w:rPr>
                <w:rFonts w:asciiTheme="minorHAnsi" w:hAnsiTheme="minorHAnsi" w:cstheme="minorHAnsi"/>
                <w:b/>
                <w:bCs/>
                <w:color w:val="auto"/>
                <w:sz w:val="24"/>
                <w:szCs w:val="24"/>
                <w:lang w:val="es-AR"/>
              </w:rPr>
              <w:t>Artículo 27: Trabajo y empleo</w:t>
            </w:r>
            <w:bookmarkEnd w:id="30"/>
          </w:p>
        </w:tc>
      </w:tr>
    </w:tbl>
    <w:p w14:paraId="42E78458" w14:textId="4B419777" w:rsidR="00873244" w:rsidRPr="003F612F" w:rsidRDefault="00E413A2" w:rsidP="00762BF9">
      <w:pPr>
        <w:spacing w:before="240"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 xml:space="preserve">La falta de inclusión laboral de las PCD continúa siendo una de las principales problemáticas a la que las políticas públicas no dan respuesta. </w:t>
      </w:r>
      <w:r w:rsidR="00334792" w:rsidRPr="003F612F">
        <w:rPr>
          <w:rFonts w:eastAsia="Times New Roman" w:cstheme="minorHAnsi"/>
          <w:color w:val="000000"/>
          <w:lang w:val="es-AR" w:eastAsia="en-GB"/>
        </w:rPr>
        <w:t>P</w:t>
      </w:r>
      <w:r w:rsidRPr="003F612F">
        <w:rPr>
          <w:rFonts w:eastAsia="Times New Roman" w:cstheme="minorHAnsi"/>
          <w:color w:val="000000"/>
          <w:lang w:val="es-AR" w:eastAsia="en-GB"/>
        </w:rPr>
        <w:t xml:space="preserve">ersiste el incumplimiento </w:t>
      </w:r>
      <w:r w:rsidR="00334792" w:rsidRPr="003F612F">
        <w:rPr>
          <w:rFonts w:eastAsia="Times New Roman" w:cstheme="minorHAnsi"/>
          <w:color w:val="000000"/>
          <w:lang w:val="es-AR" w:eastAsia="en-GB"/>
        </w:rPr>
        <w:t>del cupo laboral del 4% fijado por la Ley</w:t>
      </w:r>
      <w:r w:rsidRPr="003F612F">
        <w:rPr>
          <w:rFonts w:eastAsia="Times New Roman" w:cstheme="minorHAnsi"/>
          <w:color w:val="000000"/>
          <w:lang w:val="es-AR" w:eastAsia="en-GB"/>
        </w:rPr>
        <w:t xml:space="preserve"> </w:t>
      </w:r>
      <w:r w:rsidR="00334792" w:rsidRPr="003F612F">
        <w:rPr>
          <w:rFonts w:eastAsia="Times New Roman" w:cstheme="minorHAnsi"/>
          <w:color w:val="000000"/>
          <w:lang w:val="es-AR" w:eastAsia="en-GB"/>
        </w:rPr>
        <w:t>22.431 hace más de 40 años</w:t>
      </w:r>
      <w:r w:rsidRPr="003F612F">
        <w:rPr>
          <w:rFonts w:eastAsia="Times New Roman" w:cstheme="minorHAnsi"/>
          <w:color w:val="000000"/>
          <w:lang w:val="es-AR" w:eastAsia="en-GB"/>
        </w:rPr>
        <w:t xml:space="preserve">. Según </w:t>
      </w:r>
      <w:r w:rsidR="002F5F26" w:rsidRPr="003F612F">
        <w:rPr>
          <w:rFonts w:eastAsia="Times New Roman" w:cstheme="minorHAnsi"/>
          <w:color w:val="000000"/>
          <w:lang w:val="es-AR" w:eastAsia="en-GB"/>
        </w:rPr>
        <w:t xml:space="preserve">la última </w:t>
      </w:r>
      <w:r w:rsidRPr="003F612F">
        <w:rPr>
          <w:rFonts w:eastAsia="Times New Roman" w:cstheme="minorHAnsi"/>
          <w:color w:val="000000"/>
          <w:lang w:val="es-AR" w:eastAsia="en-GB"/>
        </w:rPr>
        <w:t>información pública</w:t>
      </w:r>
      <w:r w:rsidR="002F5F26" w:rsidRPr="003F612F">
        <w:rPr>
          <w:rFonts w:eastAsia="Times New Roman" w:cstheme="minorHAnsi"/>
          <w:color w:val="000000"/>
          <w:lang w:val="es-AR" w:eastAsia="en-GB"/>
        </w:rPr>
        <w:t xml:space="preserve"> disponible</w:t>
      </w:r>
      <w:r w:rsidRPr="003F612F">
        <w:rPr>
          <w:rFonts w:eastAsia="Times New Roman" w:cstheme="minorHAnsi"/>
          <w:color w:val="000000"/>
          <w:lang w:val="es-AR" w:eastAsia="en-GB"/>
        </w:rPr>
        <w:t>, a diciembre de 2019 en el ámbito de la Administración Pública Nacional el cupo alcanzó el 0,9%</w:t>
      </w:r>
      <w:r w:rsidRPr="003F612F">
        <w:rPr>
          <w:rStyle w:val="Refdenotaalpie"/>
          <w:rFonts w:eastAsia="Times New Roman" w:cstheme="minorHAnsi"/>
          <w:color w:val="000000"/>
          <w:lang w:val="es-AR" w:eastAsia="en-GB"/>
        </w:rPr>
        <w:footnoteReference w:id="100"/>
      </w:r>
      <w:r w:rsidRPr="003F612F">
        <w:rPr>
          <w:rFonts w:eastAsia="Times New Roman" w:cstheme="minorHAnsi"/>
          <w:color w:val="000000"/>
          <w:lang w:val="es-AR" w:eastAsia="en-GB"/>
        </w:rPr>
        <w:t xml:space="preserve">. De las 191 jurisdicciones ministeriales, organismos descentralizados y universidades nacionales que debieran cumplir con el cupo, se </w:t>
      </w:r>
      <w:r w:rsidRPr="003F612F">
        <w:rPr>
          <w:rFonts w:eastAsia="Times New Roman" w:cstheme="minorHAnsi"/>
          <w:color w:val="000000"/>
          <w:lang w:val="es-AR" w:eastAsia="en-GB"/>
        </w:rPr>
        <w:lastRenderedPageBreak/>
        <w:t>informa que tan solo 25 instituciones concentran el 75% de las PCD. Asimismo, ninguna de las 43 universidades nacionales informa que esté cumpliendo con el cupo del 4%</w:t>
      </w:r>
      <w:r w:rsidR="00334792" w:rsidRPr="003F612F">
        <w:rPr>
          <w:rFonts w:eastAsia="Times New Roman" w:cstheme="minorHAnsi"/>
          <w:color w:val="000000"/>
          <w:lang w:val="es-AR" w:eastAsia="en-GB"/>
        </w:rPr>
        <w:t>.</w:t>
      </w:r>
      <w:r w:rsidR="00873244" w:rsidRPr="003F612F">
        <w:rPr>
          <w:rFonts w:eastAsia="Times New Roman" w:cstheme="minorHAnsi"/>
          <w:color w:val="000000"/>
          <w:lang w:val="es-AR" w:eastAsia="en-GB"/>
        </w:rPr>
        <w:t xml:space="preserve"> No se difundió información sobre el nivel de cumplimiento del período 2020-2022.</w:t>
      </w:r>
      <w:r w:rsidR="00393AA2">
        <w:rPr>
          <w:rFonts w:eastAsia="Times New Roman" w:cstheme="minorHAnsi"/>
          <w:color w:val="000000"/>
          <w:lang w:val="es-AR" w:eastAsia="en-GB"/>
        </w:rPr>
        <w:t xml:space="preserve"> Tampoco se conoce el impacto en la inclusión laboral de los Responsables de la Inclusión y Desarrollo Laboral (RIDEL)</w:t>
      </w:r>
      <w:r w:rsidR="00393AA2">
        <w:rPr>
          <w:rStyle w:val="Refdenotaalpie"/>
          <w:rFonts w:eastAsia="Times New Roman" w:cstheme="minorHAnsi"/>
          <w:color w:val="000000"/>
          <w:lang w:val="es-AR" w:eastAsia="en-GB"/>
        </w:rPr>
        <w:footnoteReference w:id="101"/>
      </w:r>
      <w:r w:rsidR="00393AA2">
        <w:rPr>
          <w:rFonts w:eastAsia="Times New Roman" w:cstheme="minorHAnsi"/>
          <w:color w:val="000000"/>
          <w:lang w:val="es-AR" w:eastAsia="en-GB"/>
        </w:rPr>
        <w:t xml:space="preserve"> en cada dependencia del Estado Nacional</w:t>
      </w:r>
    </w:p>
    <w:p w14:paraId="775BBE54" w14:textId="7406BD35" w:rsidR="00E413A2" w:rsidRPr="003F612F" w:rsidRDefault="00E413A2" w:rsidP="00762BF9">
      <w:pPr>
        <w:spacing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En el marco d</w:t>
      </w:r>
      <w:r w:rsidR="00975199" w:rsidRPr="003F612F">
        <w:rPr>
          <w:rFonts w:eastAsia="Times New Roman" w:cstheme="minorHAnsi"/>
          <w:color w:val="000000"/>
          <w:lang w:val="es-AR" w:eastAsia="en-GB"/>
        </w:rPr>
        <w:t>e</w:t>
      </w:r>
      <w:r w:rsidRPr="003F612F">
        <w:rPr>
          <w:rFonts w:eastAsia="Times New Roman" w:cstheme="minorHAnsi"/>
          <w:color w:val="000000"/>
          <w:lang w:val="es-AR" w:eastAsia="en-GB"/>
        </w:rPr>
        <w:t xml:space="preserve"> la pandemia se extendieron las prácticas del teletrabajo, lo que llevó al Congreso Nacional a sancionar </w:t>
      </w:r>
      <w:r w:rsidR="00873244" w:rsidRPr="003F612F">
        <w:rPr>
          <w:rFonts w:eastAsia="Times New Roman" w:cstheme="minorHAnsi"/>
          <w:color w:val="000000"/>
          <w:lang w:val="es-AR" w:eastAsia="en-GB"/>
        </w:rPr>
        <w:t xml:space="preserve">la Ley </w:t>
      </w:r>
      <w:r w:rsidR="00975199" w:rsidRPr="003F612F">
        <w:rPr>
          <w:rFonts w:eastAsia="Times New Roman" w:cstheme="minorHAnsi"/>
          <w:color w:val="000000"/>
          <w:lang w:val="es-AR" w:eastAsia="en-GB"/>
        </w:rPr>
        <w:t>27.555</w:t>
      </w:r>
      <w:r w:rsidR="00975199" w:rsidRPr="003F612F">
        <w:rPr>
          <w:rStyle w:val="Refdenotaalpie"/>
          <w:rFonts w:eastAsia="Times New Roman" w:cstheme="minorHAnsi"/>
          <w:color w:val="000000"/>
          <w:lang w:val="es-AR" w:eastAsia="en-GB"/>
        </w:rPr>
        <w:footnoteReference w:id="102"/>
      </w:r>
      <w:r w:rsidR="00975199" w:rsidRPr="003F612F">
        <w:rPr>
          <w:rFonts w:eastAsia="Times New Roman" w:cstheme="minorHAnsi"/>
          <w:color w:val="000000"/>
          <w:lang w:val="es-AR" w:eastAsia="en-GB"/>
        </w:rPr>
        <w:t xml:space="preserve"> de Teletrabajo</w:t>
      </w:r>
      <w:r w:rsidRPr="003F612F">
        <w:rPr>
          <w:rFonts w:eastAsia="Times New Roman" w:cstheme="minorHAnsi"/>
          <w:color w:val="000000"/>
          <w:lang w:val="es-AR" w:eastAsia="en-GB"/>
        </w:rPr>
        <w:t xml:space="preserve">. </w:t>
      </w:r>
      <w:r w:rsidR="00201214">
        <w:rPr>
          <w:rFonts w:eastAsia="Times New Roman" w:cstheme="minorHAnsi"/>
          <w:color w:val="000000"/>
          <w:lang w:val="es-AR" w:eastAsia="en-GB"/>
        </w:rPr>
        <w:t>Esta n</w:t>
      </w:r>
      <w:r w:rsidRPr="003F612F">
        <w:rPr>
          <w:rFonts w:eastAsia="Times New Roman" w:cstheme="minorHAnsi"/>
          <w:color w:val="000000"/>
          <w:lang w:val="es-AR" w:eastAsia="en-GB"/>
        </w:rPr>
        <w:t>o cuenta con perspectiva de discapacidad, ya que no contempla la posibilidad de que las PCD pued</w:t>
      </w:r>
      <w:r w:rsidR="007C446B" w:rsidRPr="003F612F">
        <w:rPr>
          <w:rFonts w:eastAsia="Times New Roman" w:cstheme="minorHAnsi"/>
          <w:color w:val="000000"/>
          <w:lang w:val="es-AR" w:eastAsia="en-GB"/>
        </w:rPr>
        <w:t>a</w:t>
      </w:r>
      <w:r w:rsidRPr="003F612F">
        <w:rPr>
          <w:rFonts w:eastAsia="Times New Roman" w:cstheme="minorHAnsi"/>
          <w:color w:val="000000"/>
          <w:lang w:val="es-AR" w:eastAsia="en-GB"/>
        </w:rPr>
        <w:t xml:space="preserve">n llegar a necesitar apoyos para la accesibilidad o ajustes razonables como podrían ser la provisión de mobiliario, equipamiento, insumos, tecnología de apoyo u otros medios de apoyo personal. La Ley solo menciona a las PCD como personas al cuidado de otras, dando cuenta que el Estado sigue sin pensar a </w:t>
      </w:r>
      <w:r w:rsidR="00975199" w:rsidRPr="003F612F">
        <w:rPr>
          <w:rFonts w:eastAsia="Times New Roman" w:cstheme="minorHAnsi"/>
          <w:color w:val="000000"/>
          <w:lang w:val="es-AR" w:eastAsia="en-GB"/>
        </w:rPr>
        <w:t>las PCD</w:t>
      </w:r>
      <w:r w:rsidRPr="003F612F">
        <w:rPr>
          <w:rFonts w:eastAsia="Times New Roman" w:cstheme="minorHAnsi"/>
          <w:color w:val="000000"/>
          <w:lang w:val="es-AR" w:eastAsia="en-GB"/>
        </w:rPr>
        <w:t xml:space="preserve"> como fuerza activa de trabajo.</w:t>
      </w:r>
    </w:p>
    <w:p w14:paraId="15A19B8F" w14:textId="04A97C8E" w:rsidR="00E413A2" w:rsidRPr="003F612F" w:rsidRDefault="00E413A2" w:rsidP="00762BF9">
      <w:pPr>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En</w:t>
      </w:r>
      <w:r w:rsidR="003710DB">
        <w:rPr>
          <w:rFonts w:eastAsia="Times New Roman" w:cstheme="minorHAnsi"/>
          <w:color w:val="000000"/>
          <w:lang w:val="es-AR" w:eastAsia="en-GB"/>
        </w:rPr>
        <w:t xml:space="preserve"> relación con</w:t>
      </w:r>
      <w:r w:rsidRPr="003F612F">
        <w:rPr>
          <w:rFonts w:eastAsia="Times New Roman" w:cstheme="minorHAnsi"/>
          <w:color w:val="000000"/>
          <w:lang w:val="es-AR" w:eastAsia="en-GB"/>
        </w:rPr>
        <w:t xml:space="preserve"> las </w:t>
      </w:r>
      <w:r w:rsidR="008A5AE0" w:rsidRPr="003F612F">
        <w:rPr>
          <w:rFonts w:eastAsia="Times New Roman" w:cstheme="minorHAnsi"/>
          <w:color w:val="000000"/>
          <w:lang w:val="es-AR" w:eastAsia="en-GB"/>
        </w:rPr>
        <w:t>PCD</w:t>
      </w:r>
      <w:r w:rsidRPr="003F612F">
        <w:rPr>
          <w:rFonts w:eastAsia="Times New Roman" w:cstheme="minorHAnsi"/>
          <w:color w:val="000000"/>
          <w:lang w:val="es-AR" w:eastAsia="en-GB"/>
        </w:rPr>
        <w:t xml:space="preserve"> visual</w:t>
      </w:r>
      <w:r w:rsidR="003710DB">
        <w:rPr>
          <w:rFonts w:eastAsia="Times New Roman" w:cstheme="minorHAnsi"/>
          <w:color w:val="000000"/>
          <w:lang w:val="es-AR" w:eastAsia="en-GB"/>
        </w:rPr>
        <w:t xml:space="preserve">, </w:t>
      </w:r>
      <w:r w:rsidRPr="003F612F">
        <w:rPr>
          <w:rFonts w:eastAsia="Times New Roman" w:cstheme="minorHAnsi"/>
          <w:color w:val="000000"/>
          <w:lang w:val="es-AR" w:eastAsia="en-GB"/>
        </w:rPr>
        <w:t xml:space="preserve">existen numerosos casos de negativas a realizar las adaptaciones a las plataformas internas de trabajo, incluso de organismos públicos. </w:t>
      </w:r>
      <w:bookmarkStart w:id="31" w:name="_Hlk122636121"/>
      <w:r w:rsidRPr="003F612F">
        <w:rPr>
          <w:rFonts w:eastAsia="Times New Roman" w:cstheme="minorHAnsi"/>
          <w:color w:val="000000"/>
          <w:lang w:val="es-AR" w:eastAsia="en-GB"/>
        </w:rPr>
        <w:t>El Sistema de Gestión Documental Electrónico (GDE</w:t>
      </w:r>
      <w:bookmarkEnd w:id="31"/>
      <w:r w:rsidRPr="003F612F">
        <w:rPr>
          <w:rFonts w:eastAsia="Times New Roman" w:cstheme="minorHAnsi"/>
          <w:color w:val="000000"/>
          <w:lang w:val="es-AR" w:eastAsia="en-GB"/>
        </w:rPr>
        <w:t xml:space="preserve">), es un claro ejemplo de total inaccesibilidad. </w:t>
      </w:r>
    </w:p>
    <w:p w14:paraId="73D9828E" w14:textId="6DAEDAA5" w:rsidR="00E413A2" w:rsidRPr="003F612F" w:rsidRDefault="00E413A2" w:rsidP="00762BF9">
      <w:pPr>
        <w:spacing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 xml:space="preserve">La ausencia </w:t>
      </w:r>
      <w:r w:rsidR="00975199" w:rsidRPr="003F612F">
        <w:rPr>
          <w:rFonts w:eastAsia="Times New Roman" w:cstheme="minorHAnsi"/>
          <w:color w:val="000000"/>
          <w:lang w:val="es-AR" w:eastAsia="en-GB"/>
        </w:rPr>
        <w:t>de</w:t>
      </w:r>
      <w:r w:rsidRPr="003F612F">
        <w:rPr>
          <w:rFonts w:eastAsia="Times New Roman" w:cstheme="minorHAnsi"/>
          <w:color w:val="000000"/>
          <w:lang w:val="es-AR" w:eastAsia="en-GB"/>
        </w:rPr>
        <w:t xml:space="preserve"> políticas públicas específicas conlleva</w:t>
      </w:r>
      <w:r w:rsidR="00975199" w:rsidRPr="003F612F">
        <w:rPr>
          <w:rFonts w:eastAsia="Times New Roman" w:cstheme="minorHAnsi"/>
          <w:color w:val="000000"/>
          <w:lang w:val="es-AR" w:eastAsia="en-GB"/>
        </w:rPr>
        <w:t xml:space="preserve"> </w:t>
      </w:r>
      <w:r w:rsidR="001074F9" w:rsidRPr="003F612F">
        <w:rPr>
          <w:rFonts w:eastAsia="Times New Roman" w:cstheme="minorHAnsi"/>
          <w:color w:val="000000"/>
          <w:lang w:val="es-AR" w:eastAsia="en-GB"/>
        </w:rPr>
        <w:t>a</w:t>
      </w:r>
      <w:r w:rsidRPr="003F612F">
        <w:rPr>
          <w:rFonts w:eastAsia="Times New Roman" w:cstheme="minorHAnsi"/>
          <w:color w:val="000000"/>
          <w:lang w:val="es-AR" w:eastAsia="en-GB"/>
        </w:rPr>
        <w:t xml:space="preserve"> que</w:t>
      </w:r>
      <w:r w:rsidR="00975199" w:rsidRPr="003F612F">
        <w:rPr>
          <w:rFonts w:eastAsia="Times New Roman" w:cstheme="minorHAnsi"/>
          <w:color w:val="000000"/>
          <w:lang w:val="es-AR" w:eastAsia="en-GB"/>
        </w:rPr>
        <w:t xml:space="preserve"> sean </w:t>
      </w:r>
      <w:r w:rsidRPr="003F612F">
        <w:rPr>
          <w:rFonts w:eastAsia="Times New Roman" w:cstheme="minorHAnsi"/>
          <w:color w:val="000000"/>
          <w:lang w:val="es-AR" w:eastAsia="en-GB"/>
        </w:rPr>
        <w:t>las organizaciones de la sociedad civil</w:t>
      </w:r>
      <w:r w:rsidR="00201214">
        <w:rPr>
          <w:rFonts w:eastAsia="Times New Roman" w:cstheme="minorHAnsi"/>
          <w:color w:val="000000"/>
          <w:lang w:val="es-AR" w:eastAsia="en-GB"/>
        </w:rPr>
        <w:t xml:space="preserve"> las que brinden</w:t>
      </w:r>
      <w:r w:rsidRPr="003F612F">
        <w:rPr>
          <w:rFonts w:eastAsia="Times New Roman" w:cstheme="minorHAnsi"/>
          <w:color w:val="000000"/>
          <w:lang w:val="es-AR" w:eastAsia="en-GB"/>
        </w:rPr>
        <w:t xml:space="preserve"> respuesta</w:t>
      </w:r>
      <w:r w:rsidR="00201214">
        <w:rPr>
          <w:rFonts w:eastAsia="Times New Roman" w:cstheme="minorHAnsi"/>
          <w:color w:val="000000"/>
          <w:lang w:val="es-AR" w:eastAsia="en-GB"/>
        </w:rPr>
        <w:t>s</w:t>
      </w:r>
      <w:r w:rsidR="001074F9" w:rsidRPr="003F612F">
        <w:rPr>
          <w:rFonts w:eastAsia="Times New Roman" w:cstheme="minorHAnsi"/>
          <w:color w:val="000000"/>
          <w:lang w:val="es-AR" w:eastAsia="en-GB"/>
        </w:rPr>
        <w:t xml:space="preserve"> </w:t>
      </w:r>
      <w:r w:rsidRPr="003F612F">
        <w:rPr>
          <w:rFonts w:eastAsia="Times New Roman" w:cstheme="minorHAnsi"/>
          <w:color w:val="000000"/>
          <w:lang w:val="es-AR" w:eastAsia="en-GB"/>
        </w:rPr>
        <w:t xml:space="preserve">frente a pedidos de </w:t>
      </w:r>
      <w:r w:rsidR="001074F9" w:rsidRPr="003F612F">
        <w:rPr>
          <w:rFonts w:eastAsia="Times New Roman" w:cstheme="minorHAnsi"/>
          <w:color w:val="000000"/>
          <w:lang w:val="es-AR" w:eastAsia="en-GB"/>
        </w:rPr>
        <w:t>asesoramiento para la integración laboral. Muchas de las oportunidades continúan siendo</w:t>
      </w:r>
      <w:r w:rsidRPr="003F612F">
        <w:rPr>
          <w:rFonts w:eastAsia="Times New Roman" w:cstheme="minorHAnsi"/>
          <w:color w:val="000000"/>
          <w:lang w:val="es-AR" w:eastAsia="en-GB"/>
        </w:rPr>
        <w:t xml:space="preserve"> pasantías o becas</w:t>
      </w:r>
      <w:r w:rsidR="001074F9" w:rsidRPr="003F612F">
        <w:rPr>
          <w:rFonts w:eastAsia="Times New Roman" w:cstheme="minorHAnsi"/>
          <w:color w:val="000000"/>
          <w:lang w:val="es-AR" w:eastAsia="en-GB"/>
        </w:rPr>
        <w:t>, dificultándose el traspaso</w:t>
      </w:r>
      <w:r w:rsidRPr="003F612F">
        <w:rPr>
          <w:rFonts w:eastAsia="Times New Roman" w:cstheme="minorHAnsi"/>
          <w:color w:val="000000"/>
          <w:lang w:val="es-AR" w:eastAsia="en-GB"/>
        </w:rPr>
        <w:t xml:space="preserve"> </w:t>
      </w:r>
      <w:r w:rsidR="00E140B0" w:rsidRPr="003F612F">
        <w:rPr>
          <w:rFonts w:eastAsia="Times New Roman" w:cstheme="minorHAnsi"/>
          <w:color w:val="000000"/>
          <w:lang w:val="es-AR" w:eastAsia="en-GB"/>
        </w:rPr>
        <w:t>a</w:t>
      </w:r>
      <w:r w:rsidRPr="003F612F">
        <w:rPr>
          <w:rFonts w:eastAsia="Times New Roman" w:cstheme="minorHAnsi"/>
          <w:color w:val="000000"/>
          <w:lang w:val="es-AR" w:eastAsia="en-GB"/>
        </w:rPr>
        <w:t xml:space="preserve"> un empleo formal estable</w:t>
      </w:r>
      <w:r w:rsidR="00E140B0" w:rsidRPr="003F612F">
        <w:rPr>
          <w:rFonts w:eastAsia="Times New Roman" w:cstheme="minorHAnsi"/>
          <w:color w:val="000000"/>
          <w:lang w:val="es-AR" w:eastAsia="en-GB"/>
        </w:rPr>
        <w:t xml:space="preserve">. </w:t>
      </w:r>
    </w:p>
    <w:p w14:paraId="7A7277F8" w14:textId="1E81B546" w:rsidR="00E413A2" w:rsidRPr="003F612F" w:rsidRDefault="007139AB" w:rsidP="00762BF9">
      <w:pPr>
        <w:spacing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Aunado a ello, son escasas</w:t>
      </w:r>
      <w:r w:rsidR="00E413A2" w:rsidRPr="003F612F">
        <w:rPr>
          <w:rFonts w:eastAsia="Times New Roman" w:cstheme="minorHAnsi"/>
          <w:color w:val="000000"/>
          <w:lang w:val="es-AR" w:eastAsia="en-GB"/>
        </w:rPr>
        <w:t xml:space="preserve"> las configuraciones de apoyos para el desarrollo laboral y en la mayoría de los casos, las posibilidades de elección de un trabajo para las </w:t>
      </w:r>
      <w:r w:rsidR="00E140B0" w:rsidRPr="003F612F">
        <w:rPr>
          <w:rFonts w:eastAsia="Times New Roman" w:cstheme="minorHAnsi"/>
          <w:color w:val="000000"/>
          <w:lang w:val="es-AR" w:eastAsia="en-GB"/>
        </w:rPr>
        <w:t>PCD</w:t>
      </w:r>
      <w:r w:rsidR="00E413A2" w:rsidRPr="003F612F">
        <w:rPr>
          <w:rFonts w:eastAsia="Times New Roman" w:cstheme="minorHAnsi"/>
          <w:color w:val="000000"/>
          <w:lang w:val="es-AR" w:eastAsia="en-GB"/>
        </w:rPr>
        <w:t xml:space="preserve"> son limitadas, debido a que no hay accesibilidad física y comunicacional en todos los lugares posibles</w:t>
      </w:r>
      <w:r w:rsidR="00E140B0" w:rsidRPr="003F612F">
        <w:rPr>
          <w:rStyle w:val="Refdenotaalpie"/>
          <w:rFonts w:eastAsia="Times New Roman" w:cstheme="minorHAnsi"/>
          <w:color w:val="000000"/>
          <w:lang w:val="es-AR" w:eastAsia="en-GB"/>
        </w:rPr>
        <w:footnoteReference w:id="103"/>
      </w:r>
      <w:r w:rsidR="00E413A2" w:rsidRPr="003F612F">
        <w:rPr>
          <w:rFonts w:eastAsia="Times New Roman" w:cstheme="minorHAnsi"/>
          <w:color w:val="000000"/>
          <w:lang w:val="es-AR" w:eastAsia="en-GB"/>
        </w:rPr>
        <w:t xml:space="preserve">. </w:t>
      </w:r>
      <w:r w:rsidR="001074F9" w:rsidRPr="003F612F">
        <w:rPr>
          <w:rFonts w:eastAsia="Times New Roman" w:cstheme="minorHAnsi"/>
          <w:color w:val="000000"/>
          <w:lang w:val="es-AR" w:eastAsia="en-GB"/>
        </w:rPr>
        <w:t xml:space="preserve"> Tampoco se incentiva la promoción en los empleos, por lo que las PCD suelen quedar en desventaja a la hora de conseguir ascensos.</w:t>
      </w:r>
      <w:r w:rsidR="00BC6267">
        <w:rPr>
          <w:rFonts w:eastAsia="Times New Roman" w:cstheme="minorHAnsi"/>
          <w:color w:val="000000"/>
          <w:lang w:val="es-AR" w:eastAsia="en-GB"/>
        </w:rPr>
        <w:t xml:space="preserve"> Asimismo, tampoco hay un especial énfasis en promover el trabajo de las mujeres como menciona el Informe País (párrafos 86 y 87).</w:t>
      </w:r>
    </w:p>
    <w:p w14:paraId="4240BF2A" w14:textId="6E0FB797" w:rsidR="00E413A2" w:rsidRPr="003F612F" w:rsidRDefault="001074F9" w:rsidP="00762BF9">
      <w:pPr>
        <w:spacing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Respecto al trabajo en cooperativas</w:t>
      </w:r>
      <w:r w:rsidR="00DC0BD4">
        <w:rPr>
          <w:rFonts w:eastAsia="Times New Roman" w:cstheme="minorHAnsi"/>
          <w:color w:val="000000"/>
          <w:lang w:val="es-AR" w:eastAsia="en-GB"/>
        </w:rPr>
        <w:t>,</w:t>
      </w:r>
      <w:r w:rsidR="00A56E7B" w:rsidRPr="003F612F">
        <w:rPr>
          <w:rFonts w:eastAsia="Times New Roman" w:cstheme="minorHAnsi"/>
          <w:color w:val="000000"/>
          <w:lang w:val="es-AR" w:eastAsia="en-GB"/>
        </w:rPr>
        <w:t xml:space="preserve"> </w:t>
      </w:r>
      <w:r w:rsidR="00191ABC">
        <w:rPr>
          <w:rFonts w:eastAsia="Times New Roman" w:cstheme="minorHAnsi"/>
          <w:color w:val="000000"/>
          <w:lang w:val="es-AR" w:eastAsia="en-GB"/>
        </w:rPr>
        <w:t xml:space="preserve">fomentado por el Programa Potenciar Trabajo, </w:t>
      </w:r>
      <w:r w:rsidRPr="003F612F">
        <w:rPr>
          <w:rFonts w:eastAsia="Times New Roman" w:cstheme="minorHAnsi"/>
          <w:color w:val="000000"/>
          <w:lang w:val="es-AR" w:eastAsia="en-GB"/>
        </w:rPr>
        <w:t>el retorno recibido por el Estado resulta insuficiente</w:t>
      </w:r>
      <w:r w:rsidR="00E413A2" w:rsidRPr="003F612F">
        <w:rPr>
          <w:rFonts w:eastAsia="Times New Roman" w:cstheme="minorHAnsi"/>
          <w:color w:val="000000"/>
          <w:lang w:val="es-AR" w:eastAsia="en-GB"/>
        </w:rPr>
        <w:t xml:space="preserve">, </w:t>
      </w:r>
      <w:r w:rsidR="00DC0BD4">
        <w:rPr>
          <w:rFonts w:eastAsia="Times New Roman" w:cstheme="minorHAnsi"/>
          <w:color w:val="000000"/>
          <w:lang w:val="es-AR" w:eastAsia="en-GB"/>
        </w:rPr>
        <w:t xml:space="preserve">por lo que </w:t>
      </w:r>
      <w:r w:rsidR="00D5513C" w:rsidRPr="003F612F">
        <w:rPr>
          <w:rFonts w:eastAsia="Times New Roman" w:cstheme="minorHAnsi"/>
          <w:color w:val="000000"/>
          <w:lang w:val="es-AR" w:eastAsia="en-GB"/>
        </w:rPr>
        <w:t>quienes trabajan</w:t>
      </w:r>
      <w:r w:rsidR="00DC0BD4">
        <w:rPr>
          <w:rFonts w:eastAsia="Times New Roman" w:cstheme="minorHAnsi"/>
          <w:color w:val="000000"/>
          <w:lang w:val="es-AR" w:eastAsia="en-GB"/>
        </w:rPr>
        <w:t xml:space="preserve"> en ellas tiene</w:t>
      </w:r>
      <w:r w:rsidR="00A14096" w:rsidRPr="003F612F">
        <w:rPr>
          <w:rFonts w:eastAsia="Times New Roman" w:cstheme="minorHAnsi"/>
          <w:color w:val="000000"/>
          <w:lang w:val="es-AR" w:eastAsia="en-GB"/>
        </w:rPr>
        <w:t xml:space="preserve">n </w:t>
      </w:r>
      <w:r w:rsidR="00D5513C" w:rsidRPr="003F612F">
        <w:rPr>
          <w:rFonts w:eastAsia="Times New Roman" w:cstheme="minorHAnsi"/>
          <w:color w:val="000000"/>
          <w:lang w:val="es-AR" w:eastAsia="en-GB"/>
        </w:rPr>
        <w:t>ingresos por debajo de la</w:t>
      </w:r>
      <w:r w:rsidR="00E413A2" w:rsidRPr="003F612F">
        <w:rPr>
          <w:rFonts w:eastAsia="Times New Roman" w:cstheme="minorHAnsi"/>
          <w:color w:val="000000"/>
          <w:lang w:val="es-AR" w:eastAsia="en-GB"/>
        </w:rPr>
        <w:t xml:space="preserve"> línea de pobreza</w:t>
      </w:r>
      <w:r w:rsidR="00F32535" w:rsidRPr="003F612F">
        <w:rPr>
          <w:rFonts w:eastAsia="Times New Roman" w:cstheme="minorHAnsi"/>
          <w:color w:val="000000"/>
          <w:lang w:val="es-AR" w:eastAsia="en-GB"/>
        </w:rPr>
        <w:t>.</w:t>
      </w:r>
      <w:r w:rsidR="00D5513C" w:rsidRPr="003F612F">
        <w:rPr>
          <w:rFonts w:eastAsia="Times New Roman" w:cstheme="minorHAnsi"/>
          <w:lang w:val="es-AR" w:eastAsia="en-GB"/>
        </w:rPr>
        <w:t xml:space="preserve"> El sector no fue alcanzado por muchas de las medidas dispuestas por el Estado para aliviar los efectos económicos negativos de la pandemia.</w:t>
      </w:r>
    </w:p>
    <w:p w14:paraId="1B6D37FB" w14:textId="485F43BC" w:rsidR="00E413A2" w:rsidRPr="003F612F" w:rsidRDefault="00E413A2" w:rsidP="00762BF9">
      <w:pPr>
        <w:spacing w:before="240"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 xml:space="preserve">La Ley </w:t>
      </w:r>
      <w:r w:rsidR="00ED022D" w:rsidRPr="003F612F">
        <w:rPr>
          <w:rFonts w:eastAsia="Times New Roman" w:cstheme="minorHAnsi"/>
          <w:color w:val="000000"/>
          <w:lang w:val="es-AR" w:eastAsia="en-GB"/>
        </w:rPr>
        <w:t xml:space="preserve">de Régimen Federal de Empleo Protegido para </w:t>
      </w:r>
      <w:r w:rsidR="008A5AE0" w:rsidRPr="003F612F">
        <w:rPr>
          <w:rFonts w:eastAsia="Times New Roman" w:cstheme="minorHAnsi"/>
          <w:color w:val="000000"/>
          <w:lang w:val="es-AR" w:eastAsia="en-GB"/>
        </w:rPr>
        <w:t>PCD</w:t>
      </w:r>
      <w:r w:rsidR="00ED022D" w:rsidRPr="003F612F">
        <w:rPr>
          <w:rFonts w:eastAsia="Times New Roman" w:cstheme="minorHAnsi"/>
          <w:color w:val="000000"/>
          <w:lang w:val="es-AR" w:eastAsia="en-GB"/>
        </w:rPr>
        <w:t xml:space="preserve"> </w:t>
      </w:r>
      <w:r w:rsidRPr="003F612F">
        <w:rPr>
          <w:rStyle w:val="Refdenotaalpie"/>
          <w:rFonts w:eastAsia="Times New Roman" w:cstheme="minorHAnsi"/>
          <w:color w:val="000000"/>
          <w:lang w:val="es-AR" w:eastAsia="en-GB"/>
        </w:rPr>
        <w:footnoteReference w:id="104"/>
      </w:r>
      <w:r w:rsidRPr="003F612F">
        <w:rPr>
          <w:rFonts w:eastAsia="Times New Roman" w:cstheme="minorHAnsi"/>
          <w:color w:val="000000"/>
          <w:lang w:val="es-AR" w:eastAsia="en-GB"/>
        </w:rPr>
        <w:t xml:space="preserve"> y su Decreto Reglamentario 1771/15</w:t>
      </w:r>
      <w:r w:rsidRPr="003F612F">
        <w:rPr>
          <w:rStyle w:val="Refdenotaalpie"/>
          <w:rFonts w:eastAsia="Times New Roman" w:cstheme="minorHAnsi"/>
          <w:color w:val="000000"/>
          <w:lang w:val="es-AR" w:eastAsia="en-GB"/>
        </w:rPr>
        <w:footnoteReference w:id="105"/>
      </w:r>
      <w:r w:rsidRPr="003F612F">
        <w:rPr>
          <w:rFonts w:eastAsia="Times New Roman" w:cstheme="minorHAnsi"/>
          <w:color w:val="000000"/>
          <w:lang w:val="es-AR" w:eastAsia="en-GB"/>
        </w:rPr>
        <w:t xml:space="preserve"> </w:t>
      </w:r>
      <w:proofErr w:type="gramStart"/>
      <w:r w:rsidRPr="003F612F">
        <w:rPr>
          <w:rFonts w:eastAsia="Times New Roman" w:cstheme="minorHAnsi"/>
          <w:color w:val="000000"/>
          <w:lang w:val="es-AR" w:eastAsia="en-GB"/>
        </w:rPr>
        <w:t>promueven</w:t>
      </w:r>
      <w:proofErr w:type="gramEnd"/>
      <w:r w:rsidRPr="003F612F">
        <w:rPr>
          <w:rFonts w:eastAsia="Times New Roman" w:cstheme="minorHAnsi"/>
          <w:color w:val="000000"/>
          <w:lang w:val="es-AR" w:eastAsia="en-GB"/>
        </w:rPr>
        <w:t xml:space="preserve"> el desarrollo laboral de las PCD, pero siguen sin aplicación efectiva por la falta </w:t>
      </w:r>
      <w:r w:rsidR="00A14096" w:rsidRPr="003F612F">
        <w:rPr>
          <w:rFonts w:eastAsia="Times New Roman" w:cstheme="minorHAnsi"/>
          <w:color w:val="000000"/>
          <w:lang w:val="es-AR" w:eastAsia="en-GB"/>
        </w:rPr>
        <w:t xml:space="preserve">de </w:t>
      </w:r>
      <w:r w:rsidRPr="003F612F">
        <w:rPr>
          <w:rFonts w:eastAsia="Times New Roman" w:cstheme="minorHAnsi"/>
          <w:color w:val="000000"/>
          <w:lang w:val="es-AR" w:eastAsia="en-GB"/>
        </w:rPr>
        <w:t xml:space="preserve">asignación de </w:t>
      </w:r>
      <w:r w:rsidRPr="003F612F">
        <w:rPr>
          <w:rFonts w:eastAsia="Times New Roman" w:cstheme="minorHAnsi"/>
          <w:color w:val="000000"/>
          <w:lang w:val="es-AR" w:eastAsia="en-GB"/>
        </w:rPr>
        <w:lastRenderedPageBreak/>
        <w:t>partida presupuestaria. Solo se avanzó en la implementación de algunos de sus artículos vinculados al reconocimiento de derechos laborales y de la seguridad social de las PCD</w:t>
      </w:r>
      <w:r w:rsidRPr="003F612F">
        <w:rPr>
          <w:rStyle w:val="Refdenotaalpie"/>
          <w:rFonts w:eastAsia="Times New Roman" w:cstheme="minorHAnsi"/>
          <w:color w:val="000000"/>
          <w:lang w:val="es-AR" w:eastAsia="en-GB"/>
        </w:rPr>
        <w:footnoteReference w:id="106"/>
      </w:r>
      <w:r w:rsidRPr="003F612F">
        <w:rPr>
          <w:rFonts w:eastAsia="Times New Roman" w:cstheme="minorHAnsi"/>
          <w:color w:val="000000"/>
          <w:lang w:val="es-AR" w:eastAsia="en-GB"/>
        </w:rPr>
        <w:t xml:space="preserve">. </w:t>
      </w:r>
    </w:p>
    <w:p w14:paraId="5D90239D" w14:textId="63F30BB5" w:rsidR="00E413A2" w:rsidRPr="003F612F" w:rsidRDefault="00E413A2" w:rsidP="00762BF9">
      <w:pPr>
        <w:spacing w:before="240"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 xml:space="preserve">Otro factor clave a destacar, enmarcado en la Ley 26.816 y vinculado con el desarrollo laboral de las </w:t>
      </w:r>
      <w:r w:rsidR="003F310B" w:rsidRPr="003F612F">
        <w:rPr>
          <w:rFonts w:eastAsia="Times New Roman" w:cstheme="minorHAnsi"/>
          <w:color w:val="000000"/>
          <w:lang w:val="es-AR" w:eastAsia="en-GB"/>
        </w:rPr>
        <w:t>PCD</w:t>
      </w:r>
      <w:r w:rsidRPr="003F612F">
        <w:rPr>
          <w:rFonts w:eastAsia="Times New Roman" w:cstheme="minorHAnsi"/>
          <w:color w:val="000000"/>
          <w:lang w:val="es-AR" w:eastAsia="en-GB"/>
        </w:rPr>
        <w:t xml:space="preserve">, </w:t>
      </w:r>
      <w:r w:rsidR="0077430D">
        <w:rPr>
          <w:rFonts w:eastAsia="Times New Roman" w:cstheme="minorHAnsi"/>
          <w:color w:val="000000"/>
          <w:lang w:val="es-AR" w:eastAsia="en-GB"/>
        </w:rPr>
        <w:t>es</w:t>
      </w:r>
      <w:r w:rsidRPr="003F612F">
        <w:rPr>
          <w:rFonts w:eastAsia="Times New Roman" w:cstheme="minorHAnsi"/>
          <w:color w:val="000000"/>
          <w:lang w:val="es-AR" w:eastAsia="en-GB"/>
        </w:rPr>
        <w:t xml:space="preserve"> la insuficiente disponibilidad de mecanismos de apoyo y seguimiento por parte del Estado que promuevan el desarrollo sustentable de los talleres y que contribuyan con la elaboración y oferta de productos y servicios de valor social y económico. En agosto de </w:t>
      </w:r>
      <w:r w:rsidR="002E233E" w:rsidRPr="003F612F">
        <w:rPr>
          <w:rFonts w:eastAsia="Times New Roman" w:cstheme="minorHAnsi"/>
          <w:color w:val="000000"/>
          <w:lang w:val="es-AR" w:eastAsia="en-GB"/>
        </w:rPr>
        <w:t>2022</w:t>
      </w:r>
      <w:r w:rsidRPr="003F612F">
        <w:rPr>
          <w:rFonts w:eastAsia="Times New Roman" w:cstheme="minorHAnsi"/>
          <w:color w:val="000000"/>
          <w:lang w:val="es-AR" w:eastAsia="en-GB"/>
        </w:rPr>
        <w:t>se encontraban registrados 258 Talleres Protegidos de Producción con un total de 6.512 trabajadores/as con discapacidad.</w:t>
      </w:r>
    </w:p>
    <w:p w14:paraId="185BCE00" w14:textId="64BC470B" w:rsidR="00E413A2" w:rsidRPr="00F96E73" w:rsidRDefault="00247F8C"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 xml:space="preserve">Recomendaciones </w:t>
      </w:r>
      <w:r w:rsidRPr="00F96E73">
        <w:rPr>
          <w:rFonts w:eastAsia="Times New Roman" w:cstheme="minorHAnsi"/>
          <w:b/>
          <w:i/>
          <w:u w:val="single"/>
          <w:lang w:val="es-AR"/>
        </w:rPr>
        <w:t xml:space="preserve">sugeridas </w:t>
      </w:r>
      <w:r w:rsidR="00E413A2" w:rsidRPr="00F96E73">
        <w:rPr>
          <w:rFonts w:eastAsia="Times New Roman" w:cstheme="minorHAnsi"/>
          <w:b/>
          <w:i/>
          <w:u w:val="single"/>
          <w:lang w:val="es-AR"/>
        </w:rPr>
        <w:t>al Estado:</w:t>
      </w:r>
    </w:p>
    <w:p w14:paraId="7480F34C" w14:textId="77777777" w:rsidR="00247F8C" w:rsidRPr="003F612F" w:rsidRDefault="00247F8C" w:rsidP="00762BF9">
      <w:pPr>
        <w:pStyle w:val="Prrafodelista"/>
        <w:numPr>
          <w:ilvl w:val="0"/>
          <w:numId w:val="22"/>
        </w:numPr>
        <w:spacing w:after="240" w:line="276" w:lineRule="auto"/>
        <w:ind w:left="714" w:hanging="357"/>
        <w:contextualSpacing w:val="0"/>
        <w:jc w:val="both"/>
        <w:rPr>
          <w:rFonts w:eastAsia="Times New Roman" w:cstheme="minorHAnsi"/>
          <w:bCs/>
          <w:iCs/>
          <w:lang w:val="es-AR"/>
        </w:rPr>
      </w:pPr>
      <w:r>
        <w:rPr>
          <w:rFonts w:eastAsia="Times New Roman" w:cstheme="minorHAnsi"/>
          <w:bCs/>
          <w:iCs/>
          <w:lang w:val="es-AR"/>
        </w:rPr>
        <w:t xml:space="preserve">Dar cumplimiento al </w:t>
      </w:r>
      <w:r w:rsidRPr="003F612F">
        <w:rPr>
          <w:rFonts w:eastAsia="Times New Roman" w:cstheme="minorHAnsi"/>
          <w:bCs/>
          <w:iCs/>
          <w:lang w:val="es-AR"/>
        </w:rPr>
        <w:t xml:space="preserve">cupo laboral del 4% </w:t>
      </w:r>
      <w:r>
        <w:rPr>
          <w:rFonts w:eastAsia="Times New Roman" w:cstheme="minorHAnsi"/>
          <w:bCs/>
          <w:iCs/>
          <w:lang w:val="es-AR"/>
        </w:rPr>
        <w:t xml:space="preserve">en el sector público y </w:t>
      </w:r>
      <w:r w:rsidRPr="003F612F">
        <w:rPr>
          <w:rFonts w:eastAsia="Times New Roman" w:cstheme="minorHAnsi"/>
          <w:bCs/>
          <w:iCs/>
          <w:lang w:val="es-AR"/>
        </w:rPr>
        <w:t>las empresas concesionarias de servicios públicos.</w:t>
      </w:r>
    </w:p>
    <w:p w14:paraId="12029DA1" w14:textId="77777777" w:rsidR="00247F8C" w:rsidRPr="003F612F" w:rsidRDefault="00247F8C" w:rsidP="00762BF9">
      <w:pPr>
        <w:pStyle w:val="Prrafodelista"/>
        <w:numPr>
          <w:ilvl w:val="0"/>
          <w:numId w:val="22"/>
        </w:numPr>
        <w:spacing w:after="240" w:line="276" w:lineRule="auto"/>
        <w:ind w:left="714" w:hanging="357"/>
        <w:contextualSpacing w:val="0"/>
        <w:jc w:val="both"/>
        <w:rPr>
          <w:rFonts w:eastAsia="Times New Roman" w:cstheme="minorHAnsi"/>
          <w:bCs/>
          <w:iCs/>
          <w:lang w:val="es-AR"/>
        </w:rPr>
      </w:pPr>
      <w:r>
        <w:rPr>
          <w:rFonts w:eastAsia="Times New Roman" w:cstheme="minorHAnsi"/>
          <w:color w:val="000000"/>
          <w:lang w:val="es-AR" w:eastAsia="en-GB"/>
        </w:rPr>
        <w:t xml:space="preserve">Hacer accesible </w:t>
      </w:r>
      <w:r w:rsidRPr="003F612F">
        <w:rPr>
          <w:rFonts w:eastAsia="Times New Roman" w:cstheme="minorHAnsi"/>
          <w:color w:val="000000"/>
          <w:lang w:val="es-AR" w:eastAsia="en-GB"/>
        </w:rPr>
        <w:t>la plataforma Sistema de Gestión Documental Electrónico (GDE), que utilizan quienes trabajan en el Estado.</w:t>
      </w:r>
    </w:p>
    <w:p w14:paraId="0965D613" w14:textId="58F7F937" w:rsidR="00247F8C" w:rsidRPr="003F612F" w:rsidRDefault="00160C29" w:rsidP="00762BF9">
      <w:pPr>
        <w:pStyle w:val="Prrafodelista"/>
        <w:numPr>
          <w:ilvl w:val="0"/>
          <w:numId w:val="22"/>
        </w:numPr>
        <w:spacing w:after="240" w:line="276" w:lineRule="auto"/>
        <w:ind w:left="714" w:hanging="357"/>
        <w:contextualSpacing w:val="0"/>
        <w:jc w:val="both"/>
        <w:rPr>
          <w:rFonts w:eastAsia="Times New Roman" w:cstheme="minorHAnsi"/>
          <w:bCs/>
          <w:iCs/>
          <w:lang w:val="es-AR"/>
        </w:rPr>
      </w:pPr>
      <w:r>
        <w:rPr>
          <w:rFonts w:eastAsia="Times New Roman" w:cstheme="minorHAnsi"/>
          <w:color w:val="000000"/>
          <w:lang w:val="es-AR" w:eastAsia="en-GB"/>
        </w:rPr>
        <w:t>Poner en marcha efectiva la Ley 26.816 y p</w:t>
      </w:r>
      <w:r w:rsidR="00247F8C">
        <w:rPr>
          <w:rFonts w:eastAsia="Times New Roman" w:cstheme="minorHAnsi"/>
          <w:color w:val="000000"/>
          <w:lang w:val="es-AR" w:eastAsia="en-GB"/>
        </w:rPr>
        <w:t>romover medidas para que quienes trabajan en el</w:t>
      </w:r>
      <w:r w:rsidR="00247F8C" w:rsidRPr="003F612F">
        <w:rPr>
          <w:rFonts w:eastAsia="Times New Roman" w:cstheme="minorHAnsi"/>
          <w:color w:val="000000"/>
          <w:lang w:val="es-AR" w:eastAsia="en-GB"/>
        </w:rPr>
        <w:t xml:space="preserve"> empleo protegido puedan incorporarse al empleo abiert</w:t>
      </w:r>
      <w:r w:rsidR="00247F8C">
        <w:rPr>
          <w:rFonts w:eastAsia="Times New Roman" w:cstheme="minorHAnsi"/>
          <w:color w:val="000000"/>
          <w:lang w:val="es-AR" w:eastAsia="en-GB"/>
        </w:rPr>
        <w:t xml:space="preserve">o. </w:t>
      </w:r>
    </w:p>
    <w:p w14:paraId="22D24D4D" w14:textId="63978C57" w:rsidR="00247F8C" w:rsidRPr="003F0689" w:rsidRDefault="003710DB" w:rsidP="00762BF9">
      <w:pPr>
        <w:pStyle w:val="Prrafodelista"/>
        <w:numPr>
          <w:ilvl w:val="0"/>
          <w:numId w:val="22"/>
        </w:numPr>
        <w:spacing w:after="240" w:line="276" w:lineRule="auto"/>
        <w:ind w:left="714" w:hanging="357"/>
        <w:contextualSpacing w:val="0"/>
        <w:jc w:val="both"/>
        <w:rPr>
          <w:rFonts w:eastAsia="Times New Roman" w:cstheme="minorHAnsi"/>
          <w:bCs/>
          <w:iCs/>
          <w:lang w:val="es-AR"/>
        </w:rPr>
      </w:pPr>
      <w:r w:rsidRPr="003710DB">
        <w:rPr>
          <w:rFonts w:eastAsia="Times New Roman" w:cstheme="minorHAnsi"/>
          <w:color w:val="000000"/>
          <w:lang w:val="es-AR" w:eastAsia="en-GB"/>
        </w:rPr>
        <w:t>Crear mecanismos adecuados para la incorporación de ajustes razonables en el empleo.</w:t>
      </w:r>
      <w:r>
        <w:rPr>
          <w:rFonts w:eastAsia="Times New Roman" w:cstheme="minorHAnsi"/>
          <w:color w:val="000000"/>
          <w:lang w:val="es-AR" w:eastAsia="en-GB"/>
        </w:rPr>
        <w:t xml:space="preserve"> </w:t>
      </w:r>
    </w:p>
    <w:p w14:paraId="47EFE25C" w14:textId="7AB37CD3" w:rsidR="003F0689" w:rsidRPr="00756F35" w:rsidRDefault="003F0689" w:rsidP="00762BF9">
      <w:pPr>
        <w:pStyle w:val="Prrafodelista"/>
        <w:numPr>
          <w:ilvl w:val="0"/>
          <w:numId w:val="22"/>
        </w:numPr>
        <w:spacing w:after="240" w:line="276" w:lineRule="auto"/>
        <w:ind w:left="714" w:hanging="357"/>
        <w:contextualSpacing w:val="0"/>
        <w:jc w:val="both"/>
        <w:rPr>
          <w:rFonts w:eastAsia="Times New Roman" w:cstheme="minorHAnsi"/>
          <w:bCs/>
          <w:iCs/>
          <w:lang w:val="es-AR"/>
        </w:rPr>
      </w:pPr>
      <w:r>
        <w:rPr>
          <w:rFonts w:eastAsia="Times New Roman" w:cstheme="minorHAnsi"/>
          <w:bCs/>
          <w:iCs/>
        </w:rPr>
        <w:t>I</w:t>
      </w:r>
      <w:r w:rsidRPr="003F0689">
        <w:rPr>
          <w:rFonts w:eastAsia="Times New Roman" w:cstheme="minorHAnsi"/>
          <w:bCs/>
          <w:iCs/>
        </w:rPr>
        <w:t>mplementar reformas legislativas para hacer compatible el empleo formal con la percepción de PNC.</w:t>
      </w:r>
    </w:p>
    <w:tbl>
      <w:tblPr>
        <w:tblStyle w:val="Tablaconcuadrcula"/>
        <w:tblW w:w="0" w:type="auto"/>
        <w:tblLook w:val="04A0" w:firstRow="1" w:lastRow="0" w:firstColumn="1" w:lastColumn="0" w:noHBand="0" w:noVBand="1"/>
      </w:tblPr>
      <w:tblGrid>
        <w:gridCol w:w="9736"/>
      </w:tblGrid>
      <w:tr w:rsidR="00721056" w14:paraId="62093976" w14:textId="77777777" w:rsidTr="00721056">
        <w:tc>
          <w:tcPr>
            <w:tcW w:w="9736" w:type="dxa"/>
            <w:shd w:val="clear" w:color="auto" w:fill="D5DCE4" w:themeFill="text2" w:themeFillTint="33"/>
          </w:tcPr>
          <w:p w14:paraId="110759B5" w14:textId="0E3D4F2B" w:rsidR="00721056" w:rsidRPr="00721056" w:rsidRDefault="00721056"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32" w:name="_Toc124881452"/>
            <w:r w:rsidRPr="00721056">
              <w:rPr>
                <w:rFonts w:asciiTheme="minorHAnsi" w:eastAsia="Times New Roman" w:hAnsiTheme="minorHAnsi" w:cstheme="minorHAnsi"/>
                <w:b/>
                <w:bCs/>
                <w:color w:val="auto"/>
                <w:sz w:val="24"/>
                <w:szCs w:val="24"/>
                <w:lang w:val="es-AR"/>
              </w:rPr>
              <w:t>Artículo 28: Nivel de vida adecuado y Protección Social</w:t>
            </w:r>
            <w:bookmarkEnd w:id="32"/>
          </w:p>
        </w:tc>
      </w:tr>
    </w:tbl>
    <w:p w14:paraId="26C3AC89" w14:textId="7E1516A3" w:rsidR="00E413A2" w:rsidRPr="00FC5443" w:rsidRDefault="00E413A2" w:rsidP="00762BF9">
      <w:pPr>
        <w:pStyle w:val="NormalWeb"/>
        <w:spacing w:before="240" w:beforeAutospacing="0" w:after="20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 xml:space="preserve">El Estado </w:t>
      </w:r>
      <w:r w:rsidR="004D3061">
        <w:rPr>
          <w:rFonts w:asciiTheme="minorHAnsi" w:hAnsiTheme="minorHAnsi" w:cstheme="minorHAnsi"/>
          <w:color w:val="000000"/>
          <w:sz w:val="22"/>
          <w:szCs w:val="22"/>
          <w:lang w:val="es-AR"/>
        </w:rPr>
        <w:t xml:space="preserve">cuenta con una insuficiente </w:t>
      </w:r>
      <w:r w:rsidRPr="003F612F">
        <w:rPr>
          <w:rFonts w:asciiTheme="minorHAnsi" w:hAnsiTheme="minorHAnsi" w:cstheme="minorHAnsi"/>
          <w:color w:val="000000"/>
          <w:sz w:val="22"/>
          <w:szCs w:val="22"/>
          <w:lang w:val="es-AR"/>
        </w:rPr>
        <w:t>legislación sobre</w:t>
      </w:r>
      <w:r w:rsidR="00677C54">
        <w:rPr>
          <w:rFonts w:asciiTheme="minorHAnsi" w:hAnsiTheme="minorHAnsi" w:cstheme="minorHAnsi"/>
          <w:color w:val="000000"/>
          <w:sz w:val="22"/>
          <w:szCs w:val="22"/>
          <w:lang w:val="es-AR"/>
        </w:rPr>
        <w:t xml:space="preserve"> </w:t>
      </w:r>
      <w:r w:rsidR="004D3061">
        <w:rPr>
          <w:rFonts w:asciiTheme="minorHAnsi" w:hAnsiTheme="minorHAnsi" w:cstheme="minorHAnsi"/>
          <w:color w:val="000000"/>
          <w:sz w:val="22"/>
          <w:szCs w:val="22"/>
          <w:lang w:val="es-AR"/>
        </w:rPr>
        <w:t>seguridad social</w:t>
      </w:r>
      <w:r w:rsidR="00700F9E">
        <w:rPr>
          <w:rFonts w:asciiTheme="minorHAnsi" w:hAnsiTheme="minorHAnsi" w:cstheme="minorHAnsi"/>
          <w:color w:val="000000"/>
          <w:sz w:val="22"/>
          <w:szCs w:val="22"/>
          <w:lang w:val="es-AR"/>
        </w:rPr>
        <w:t xml:space="preserve">. </w:t>
      </w:r>
      <w:r w:rsidR="00897A5D">
        <w:rPr>
          <w:rFonts w:asciiTheme="minorHAnsi" w:hAnsiTheme="minorHAnsi" w:cstheme="minorHAnsi"/>
          <w:color w:val="000000"/>
          <w:sz w:val="22"/>
          <w:szCs w:val="22"/>
          <w:lang w:val="es-AR"/>
        </w:rPr>
        <w:t xml:space="preserve">El principal programa </w:t>
      </w:r>
      <w:r w:rsidR="00EF612B">
        <w:rPr>
          <w:rFonts w:asciiTheme="minorHAnsi" w:hAnsiTheme="minorHAnsi" w:cstheme="minorHAnsi"/>
          <w:color w:val="000000"/>
          <w:sz w:val="22"/>
          <w:szCs w:val="22"/>
          <w:lang w:val="es-AR"/>
        </w:rPr>
        <w:t>continúa</w:t>
      </w:r>
      <w:r w:rsidR="00700F9E">
        <w:rPr>
          <w:rFonts w:asciiTheme="minorHAnsi" w:hAnsiTheme="minorHAnsi" w:cstheme="minorHAnsi"/>
          <w:color w:val="000000"/>
          <w:sz w:val="22"/>
          <w:szCs w:val="22"/>
          <w:lang w:val="es-AR"/>
        </w:rPr>
        <w:t xml:space="preserve"> siendo las</w:t>
      </w:r>
      <w:r w:rsidRPr="003F612F">
        <w:rPr>
          <w:rFonts w:asciiTheme="minorHAnsi" w:hAnsiTheme="minorHAnsi" w:cstheme="minorHAnsi"/>
          <w:color w:val="000000"/>
          <w:sz w:val="22"/>
          <w:szCs w:val="22"/>
          <w:lang w:val="es-AR"/>
        </w:rPr>
        <w:t xml:space="preserve"> </w:t>
      </w:r>
      <w:r w:rsidR="00700F9E">
        <w:rPr>
          <w:rFonts w:asciiTheme="minorHAnsi" w:hAnsiTheme="minorHAnsi" w:cstheme="minorHAnsi"/>
          <w:color w:val="000000"/>
          <w:sz w:val="22"/>
          <w:szCs w:val="22"/>
          <w:lang w:val="es-AR"/>
        </w:rPr>
        <w:t xml:space="preserve">pensiones no contributivas </w:t>
      </w:r>
      <w:r w:rsidR="00C21BCC">
        <w:rPr>
          <w:rFonts w:asciiTheme="minorHAnsi" w:hAnsiTheme="minorHAnsi" w:cstheme="minorHAnsi"/>
          <w:color w:val="000000"/>
          <w:sz w:val="22"/>
          <w:szCs w:val="22"/>
          <w:lang w:val="es-AR"/>
        </w:rPr>
        <w:t xml:space="preserve">(PNC) </w:t>
      </w:r>
      <w:r w:rsidR="00700F9E">
        <w:rPr>
          <w:rFonts w:asciiTheme="minorHAnsi" w:hAnsiTheme="minorHAnsi" w:cstheme="minorHAnsi"/>
          <w:color w:val="000000"/>
          <w:sz w:val="22"/>
          <w:szCs w:val="22"/>
          <w:lang w:val="es-AR"/>
        </w:rPr>
        <w:t xml:space="preserve">que </w:t>
      </w:r>
      <w:r w:rsidRPr="003F612F">
        <w:rPr>
          <w:rFonts w:asciiTheme="minorHAnsi" w:hAnsiTheme="minorHAnsi" w:cstheme="minorHAnsi"/>
          <w:color w:val="000000"/>
          <w:sz w:val="22"/>
          <w:szCs w:val="22"/>
          <w:lang w:val="es-AR"/>
        </w:rPr>
        <w:t>otorga en base a la Ley 13.478</w:t>
      </w:r>
      <w:r w:rsidR="007F1EDA">
        <w:rPr>
          <w:rFonts w:asciiTheme="minorHAnsi" w:hAnsiTheme="minorHAnsi" w:cstheme="minorHAnsi"/>
          <w:color w:val="000000"/>
          <w:sz w:val="22"/>
          <w:szCs w:val="22"/>
          <w:lang w:val="es-AR"/>
        </w:rPr>
        <w:t>,</w:t>
      </w:r>
      <w:r w:rsidRPr="003F612F">
        <w:rPr>
          <w:rFonts w:asciiTheme="minorHAnsi" w:hAnsiTheme="minorHAnsi" w:cstheme="minorHAnsi"/>
          <w:color w:val="000000"/>
          <w:sz w:val="22"/>
          <w:szCs w:val="22"/>
          <w:lang w:val="es-AR"/>
        </w:rPr>
        <w:t xml:space="preserve"> dictada para regular las jubilaciones y pensiones.</w:t>
      </w:r>
      <w:r w:rsidR="0077430D">
        <w:rPr>
          <w:rFonts w:asciiTheme="minorHAnsi" w:hAnsiTheme="minorHAnsi" w:cstheme="minorHAnsi"/>
          <w:color w:val="000000"/>
          <w:sz w:val="22"/>
          <w:szCs w:val="22"/>
          <w:lang w:val="es-AR"/>
        </w:rPr>
        <w:t xml:space="preserve"> </w:t>
      </w:r>
      <w:r w:rsidR="008B308E">
        <w:rPr>
          <w:rFonts w:asciiTheme="minorHAnsi" w:hAnsiTheme="minorHAnsi" w:cstheme="minorHAnsi"/>
          <w:color w:val="000000"/>
          <w:sz w:val="22"/>
          <w:szCs w:val="22"/>
          <w:lang w:val="es-AR"/>
        </w:rPr>
        <w:t xml:space="preserve">Las </w:t>
      </w:r>
      <w:r w:rsidR="00C21BCC">
        <w:rPr>
          <w:rFonts w:asciiTheme="minorHAnsi" w:hAnsiTheme="minorHAnsi" w:cstheme="minorHAnsi"/>
          <w:color w:val="000000"/>
          <w:sz w:val="22"/>
          <w:szCs w:val="22"/>
          <w:lang w:val="es-AR"/>
        </w:rPr>
        <w:t xml:space="preserve">PNC </w:t>
      </w:r>
      <w:r w:rsidR="00FC5443">
        <w:rPr>
          <w:rFonts w:asciiTheme="minorHAnsi" w:hAnsiTheme="minorHAnsi" w:cstheme="minorHAnsi"/>
          <w:color w:val="000000"/>
          <w:sz w:val="22"/>
          <w:szCs w:val="22"/>
          <w:lang w:val="es-AR"/>
        </w:rPr>
        <w:t>equivale</w:t>
      </w:r>
      <w:r w:rsidR="008B308E">
        <w:rPr>
          <w:rFonts w:asciiTheme="minorHAnsi" w:hAnsiTheme="minorHAnsi" w:cstheme="minorHAnsi"/>
          <w:color w:val="000000"/>
          <w:sz w:val="22"/>
          <w:szCs w:val="22"/>
          <w:lang w:val="es-AR"/>
        </w:rPr>
        <w:t>n</w:t>
      </w:r>
      <w:r w:rsidR="00FC5443">
        <w:rPr>
          <w:rFonts w:asciiTheme="minorHAnsi" w:hAnsiTheme="minorHAnsi" w:cstheme="minorHAnsi"/>
          <w:color w:val="000000"/>
          <w:sz w:val="22"/>
          <w:szCs w:val="22"/>
          <w:lang w:val="es-AR"/>
        </w:rPr>
        <w:t xml:space="preserve"> al 70% de una jubilación mínima</w:t>
      </w:r>
      <w:r w:rsidR="008B308E">
        <w:rPr>
          <w:rFonts w:asciiTheme="minorHAnsi" w:hAnsiTheme="minorHAnsi" w:cstheme="minorHAnsi"/>
          <w:color w:val="000000"/>
          <w:sz w:val="22"/>
          <w:szCs w:val="22"/>
          <w:lang w:val="es-AR"/>
        </w:rPr>
        <w:t xml:space="preserve">, monto insuficiente para </w:t>
      </w:r>
      <w:r w:rsidR="00172F9D">
        <w:rPr>
          <w:rFonts w:asciiTheme="minorHAnsi" w:hAnsiTheme="minorHAnsi" w:cstheme="minorHAnsi"/>
          <w:color w:val="000000"/>
          <w:sz w:val="22"/>
          <w:szCs w:val="22"/>
          <w:lang w:val="es-AR"/>
        </w:rPr>
        <w:t xml:space="preserve">poder desarrollar un proyecto de vida, y se basan en la </w:t>
      </w:r>
      <w:r w:rsidR="00CB4240">
        <w:rPr>
          <w:rFonts w:asciiTheme="minorHAnsi" w:hAnsiTheme="minorHAnsi" w:cstheme="minorHAnsi"/>
          <w:color w:val="000000"/>
          <w:sz w:val="22"/>
          <w:szCs w:val="22"/>
          <w:lang w:val="es-AR"/>
        </w:rPr>
        <w:t xml:space="preserve">invalidez </w:t>
      </w:r>
      <w:r w:rsidR="00172F9D">
        <w:rPr>
          <w:rFonts w:asciiTheme="minorHAnsi" w:hAnsiTheme="minorHAnsi" w:cstheme="minorHAnsi"/>
          <w:color w:val="000000"/>
          <w:sz w:val="22"/>
          <w:szCs w:val="22"/>
          <w:lang w:val="es-AR"/>
        </w:rPr>
        <w:t>laboral</w:t>
      </w:r>
      <w:r w:rsidR="00157872">
        <w:rPr>
          <w:rFonts w:asciiTheme="minorHAnsi" w:hAnsiTheme="minorHAnsi" w:cstheme="minorHAnsi"/>
          <w:color w:val="000000"/>
          <w:sz w:val="22"/>
          <w:szCs w:val="22"/>
          <w:lang w:val="es-AR"/>
        </w:rPr>
        <w:t xml:space="preserve">, principio contrario </w:t>
      </w:r>
      <w:r w:rsidRPr="003F612F">
        <w:rPr>
          <w:rFonts w:asciiTheme="minorHAnsi" w:hAnsiTheme="minorHAnsi" w:cstheme="minorHAnsi"/>
          <w:color w:val="000000"/>
          <w:sz w:val="22"/>
          <w:szCs w:val="22"/>
          <w:lang w:val="es-AR"/>
        </w:rPr>
        <w:t>a la CDPD</w:t>
      </w:r>
      <w:r w:rsidR="002E233E" w:rsidRPr="003F612F">
        <w:rPr>
          <w:rStyle w:val="Refdenotaalpie"/>
          <w:rFonts w:asciiTheme="minorHAnsi" w:hAnsiTheme="minorHAnsi" w:cstheme="minorHAnsi"/>
          <w:color w:val="000000"/>
          <w:sz w:val="22"/>
          <w:szCs w:val="22"/>
          <w:lang w:val="es-AR"/>
        </w:rPr>
        <w:footnoteReference w:id="107"/>
      </w:r>
      <w:r w:rsidRPr="003F612F">
        <w:rPr>
          <w:rFonts w:asciiTheme="minorHAnsi" w:hAnsiTheme="minorHAnsi" w:cstheme="minorHAnsi"/>
          <w:color w:val="000000"/>
          <w:sz w:val="22"/>
          <w:szCs w:val="22"/>
          <w:lang w:val="es-AR"/>
        </w:rPr>
        <w:t xml:space="preserve">. </w:t>
      </w:r>
      <w:r w:rsidR="00157872">
        <w:rPr>
          <w:rFonts w:asciiTheme="minorHAnsi" w:hAnsiTheme="minorHAnsi" w:cstheme="minorHAnsi"/>
          <w:color w:val="000000"/>
          <w:sz w:val="22"/>
          <w:szCs w:val="22"/>
          <w:lang w:val="es-AR"/>
        </w:rPr>
        <w:t xml:space="preserve"> </w:t>
      </w:r>
      <w:r w:rsidR="00947226">
        <w:rPr>
          <w:rFonts w:asciiTheme="minorHAnsi" w:hAnsiTheme="minorHAnsi" w:cstheme="minorHAnsi"/>
          <w:color w:val="000000"/>
          <w:sz w:val="22"/>
          <w:szCs w:val="22"/>
          <w:lang w:val="es-AR"/>
        </w:rPr>
        <w:t xml:space="preserve">Para recibirla se exige que la </w:t>
      </w:r>
      <w:r w:rsidR="00CB4240">
        <w:rPr>
          <w:rFonts w:asciiTheme="minorHAnsi" w:hAnsiTheme="minorHAnsi" w:cstheme="minorHAnsi"/>
          <w:color w:val="000000"/>
          <w:sz w:val="22"/>
          <w:szCs w:val="22"/>
          <w:lang w:val="es-AR"/>
        </w:rPr>
        <w:t xml:space="preserve">PCD </w:t>
      </w:r>
      <w:r w:rsidR="00947226">
        <w:rPr>
          <w:rFonts w:asciiTheme="minorHAnsi" w:hAnsiTheme="minorHAnsi" w:cstheme="minorHAnsi"/>
          <w:color w:val="000000"/>
          <w:sz w:val="22"/>
          <w:szCs w:val="22"/>
          <w:lang w:val="es-AR"/>
        </w:rPr>
        <w:t>no tenga bienes a su nombre</w:t>
      </w:r>
      <w:r w:rsidR="009E0A01">
        <w:rPr>
          <w:rFonts w:asciiTheme="minorHAnsi" w:hAnsiTheme="minorHAnsi" w:cstheme="minorHAnsi"/>
          <w:color w:val="000000"/>
          <w:sz w:val="22"/>
          <w:szCs w:val="22"/>
          <w:lang w:val="es-AR"/>
        </w:rPr>
        <w:t>, recursos o ingresos que permitan su subsistencia</w:t>
      </w:r>
      <w:r w:rsidR="00CB4240">
        <w:rPr>
          <w:rFonts w:asciiTheme="minorHAnsi" w:hAnsiTheme="minorHAnsi" w:cstheme="minorHAnsi"/>
          <w:color w:val="000000"/>
          <w:sz w:val="22"/>
          <w:szCs w:val="22"/>
          <w:lang w:val="es-AR"/>
        </w:rPr>
        <w:t>,</w:t>
      </w:r>
      <w:r w:rsidR="007442F8">
        <w:rPr>
          <w:rFonts w:asciiTheme="minorHAnsi" w:hAnsiTheme="minorHAnsi" w:cstheme="minorHAnsi"/>
          <w:color w:val="000000"/>
          <w:sz w:val="22"/>
          <w:szCs w:val="22"/>
          <w:lang w:val="es-AR"/>
        </w:rPr>
        <w:t xml:space="preserve"> y no tenga familiares que estén obligados legalmente a propiciarle alimentos.</w:t>
      </w:r>
      <w:r w:rsidR="000A117C">
        <w:rPr>
          <w:rFonts w:asciiTheme="minorHAnsi" w:hAnsiTheme="minorHAnsi" w:cstheme="minorHAnsi"/>
          <w:color w:val="000000"/>
          <w:sz w:val="22"/>
          <w:szCs w:val="22"/>
          <w:lang w:val="es-AR"/>
        </w:rPr>
        <w:t xml:space="preserve"> Los recientes cambios introducidos sobre el Decreto 432/97</w:t>
      </w:r>
      <w:r w:rsidR="00405B44">
        <w:rPr>
          <w:rStyle w:val="Refdenotaalpie"/>
          <w:rFonts w:asciiTheme="minorHAnsi" w:hAnsiTheme="minorHAnsi" w:cstheme="minorHAnsi"/>
          <w:color w:val="000000"/>
          <w:sz w:val="22"/>
          <w:szCs w:val="22"/>
          <w:lang w:val="es-AR"/>
        </w:rPr>
        <w:footnoteReference w:id="108"/>
      </w:r>
      <w:r w:rsidR="000A117C">
        <w:rPr>
          <w:rFonts w:asciiTheme="minorHAnsi" w:hAnsiTheme="minorHAnsi" w:cstheme="minorHAnsi"/>
          <w:color w:val="000000"/>
          <w:sz w:val="22"/>
          <w:szCs w:val="22"/>
          <w:lang w:val="es-AR"/>
        </w:rPr>
        <w:t xml:space="preserve">, sólo implican una mejora marginal, pues </w:t>
      </w:r>
      <w:r w:rsidR="003D0CDD">
        <w:rPr>
          <w:rFonts w:asciiTheme="minorHAnsi" w:hAnsiTheme="minorHAnsi" w:cstheme="minorHAnsi"/>
          <w:color w:val="000000"/>
          <w:sz w:val="22"/>
          <w:szCs w:val="22"/>
          <w:lang w:val="es-AR"/>
        </w:rPr>
        <w:t>continúa</w:t>
      </w:r>
      <w:r w:rsidR="00EC576D">
        <w:rPr>
          <w:rFonts w:asciiTheme="minorHAnsi" w:hAnsiTheme="minorHAnsi" w:cstheme="minorHAnsi"/>
          <w:color w:val="000000"/>
          <w:sz w:val="22"/>
          <w:szCs w:val="22"/>
          <w:lang w:val="es-AR"/>
        </w:rPr>
        <w:t xml:space="preserve"> el otorgamiento de las </w:t>
      </w:r>
      <w:r w:rsidR="00B532FD">
        <w:rPr>
          <w:rFonts w:asciiTheme="minorHAnsi" w:hAnsiTheme="minorHAnsi" w:cstheme="minorHAnsi"/>
          <w:color w:val="000000"/>
          <w:sz w:val="22"/>
          <w:szCs w:val="22"/>
          <w:lang w:val="es-AR"/>
        </w:rPr>
        <w:t>PNC en función de la imposibilidad laboral. Sigue siendo incompatible su percepción con el tener empleo</w:t>
      </w:r>
      <w:r w:rsidR="00C21BCC">
        <w:rPr>
          <w:rFonts w:asciiTheme="minorHAnsi" w:hAnsiTheme="minorHAnsi" w:cstheme="minorHAnsi"/>
          <w:color w:val="000000"/>
          <w:sz w:val="22"/>
          <w:szCs w:val="22"/>
          <w:lang w:val="es-AR"/>
        </w:rPr>
        <w:t xml:space="preserve"> y continúa la exclusión para aquellos cuyas familias puedan solventarlos.</w:t>
      </w:r>
    </w:p>
    <w:p w14:paraId="4176E658" w14:textId="512A4516" w:rsidR="003D433F" w:rsidRPr="003F612F" w:rsidRDefault="008C34D5" w:rsidP="00762BF9">
      <w:pPr>
        <w:spacing w:after="240" w:line="276" w:lineRule="auto"/>
        <w:ind w:firstLine="720"/>
        <w:jc w:val="both"/>
        <w:rPr>
          <w:rFonts w:cstheme="minorHAnsi"/>
          <w:color w:val="000000"/>
        </w:rPr>
      </w:pPr>
      <w:r w:rsidRPr="003F612F">
        <w:rPr>
          <w:rFonts w:eastAsia="Times New Roman" w:cstheme="minorHAnsi"/>
          <w:color w:val="000000"/>
          <w:lang w:val="es-AR" w:eastAsia="en-GB"/>
        </w:rPr>
        <w:t>E</w:t>
      </w:r>
      <w:r w:rsidR="00E413A2" w:rsidRPr="003F612F">
        <w:rPr>
          <w:rFonts w:eastAsia="Times New Roman" w:cstheme="minorHAnsi"/>
          <w:color w:val="000000"/>
          <w:lang w:val="es-AR" w:eastAsia="en-GB"/>
        </w:rPr>
        <w:t xml:space="preserve">n 2016, REDI inició una demanda colectiva por la quita de </w:t>
      </w:r>
      <w:r w:rsidR="00FC5443">
        <w:rPr>
          <w:rFonts w:eastAsia="Times New Roman" w:cstheme="minorHAnsi"/>
          <w:color w:val="000000"/>
          <w:lang w:val="es-AR" w:eastAsia="en-GB"/>
        </w:rPr>
        <w:t xml:space="preserve">miles de </w:t>
      </w:r>
      <w:r w:rsidR="00C21BCC">
        <w:rPr>
          <w:rFonts w:eastAsia="Times New Roman" w:cstheme="minorHAnsi"/>
          <w:color w:val="000000"/>
          <w:lang w:val="es-AR" w:eastAsia="en-GB"/>
        </w:rPr>
        <w:t>PNC</w:t>
      </w:r>
      <w:r w:rsidR="00E413A2" w:rsidRPr="003F612F">
        <w:rPr>
          <w:rFonts w:eastAsia="Times New Roman" w:cstheme="minorHAnsi"/>
          <w:color w:val="000000"/>
          <w:lang w:val="es-AR" w:eastAsia="en-GB"/>
        </w:rPr>
        <w:t xml:space="preserve">. </w:t>
      </w:r>
      <w:r w:rsidR="003D433F" w:rsidRPr="003F612F">
        <w:rPr>
          <w:rFonts w:eastAsia="Times New Roman" w:cstheme="minorHAnsi"/>
          <w:color w:val="000000"/>
          <w:lang w:val="es-AR" w:eastAsia="en-GB"/>
        </w:rPr>
        <w:t>En 2017</w:t>
      </w:r>
      <w:r w:rsidR="003D433F" w:rsidRPr="003F612F">
        <w:rPr>
          <w:rFonts w:cstheme="minorHAnsi"/>
          <w:color w:val="000000"/>
        </w:rPr>
        <w:t>el juzgado adoptó una medida cautelar que obligó al Estado a restablece</w:t>
      </w:r>
      <w:r w:rsidR="00421243">
        <w:rPr>
          <w:rFonts w:cstheme="minorHAnsi"/>
          <w:color w:val="000000"/>
        </w:rPr>
        <w:t>rlas</w:t>
      </w:r>
      <w:r w:rsidR="00FE7136" w:rsidRPr="003F612F">
        <w:rPr>
          <w:rFonts w:cstheme="minorHAnsi"/>
          <w:color w:val="000000"/>
        </w:rPr>
        <w:t>, pero fue incumplida por lo que se demandó su ejecución forzada</w:t>
      </w:r>
      <w:r w:rsidR="003D433F" w:rsidRPr="003F612F">
        <w:rPr>
          <w:rFonts w:cstheme="minorHAnsi"/>
          <w:color w:val="000000"/>
        </w:rPr>
        <w:t>. Luego de esto se restablecieron algunas pensiones mientras que otras personas murieron sin poder efectivizar su derecho. La</w:t>
      </w:r>
      <w:r w:rsidR="001837FA">
        <w:rPr>
          <w:rFonts w:cstheme="minorHAnsi"/>
          <w:color w:val="000000"/>
        </w:rPr>
        <w:t>s</w:t>
      </w:r>
      <w:r w:rsidR="003D433F" w:rsidRPr="003F612F">
        <w:rPr>
          <w:rFonts w:cstheme="minorHAnsi"/>
          <w:color w:val="000000"/>
        </w:rPr>
        <w:t xml:space="preserve"> sentencia</w:t>
      </w:r>
      <w:r w:rsidR="001837FA">
        <w:rPr>
          <w:rFonts w:cstheme="minorHAnsi"/>
          <w:color w:val="000000"/>
        </w:rPr>
        <w:t>s</w:t>
      </w:r>
      <w:r w:rsidR="003D433F" w:rsidRPr="003F612F">
        <w:rPr>
          <w:rFonts w:cstheme="minorHAnsi"/>
          <w:color w:val="000000"/>
        </w:rPr>
        <w:t xml:space="preserve"> de primera instancia</w:t>
      </w:r>
      <w:r w:rsidR="00FE7136" w:rsidRPr="003F612F">
        <w:rPr>
          <w:rStyle w:val="Refdenotaalpie"/>
          <w:rFonts w:cstheme="minorHAnsi"/>
          <w:color w:val="000000"/>
        </w:rPr>
        <w:footnoteReference w:id="109"/>
      </w:r>
      <w:r w:rsidR="00FE7136" w:rsidRPr="003F612F">
        <w:rPr>
          <w:rFonts w:cstheme="minorHAnsi"/>
          <w:color w:val="000000"/>
        </w:rPr>
        <w:t xml:space="preserve"> y segunda instancia</w:t>
      </w:r>
      <w:r w:rsidR="00FE7136" w:rsidRPr="003F612F">
        <w:rPr>
          <w:rStyle w:val="Refdenotaalpie"/>
          <w:rFonts w:cstheme="minorHAnsi"/>
          <w:color w:val="000000"/>
        </w:rPr>
        <w:footnoteReference w:id="110"/>
      </w:r>
      <w:r w:rsidR="003D433F" w:rsidRPr="003F612F">
        <w:rPr>
          <w:rFonts w:cstheme="minorHAnsi"/>
          <w:color w:val="000000"/>
        </w:rPr>
        <w:t xml:space="preserve"> fue</w:t>
      </w:r>
      <w:r w:rsidR="00FE7136" w:rsidRPr="003F612F">
        <w:rPr>
          <w:rFonts w:cstheme="minorHAnsi"/>
          <w:color w:val="000000"/>
        </w:rPr>
        <w:t>ron</w:t>
      </w:r>
      <w:r w:rsidR="003D433F" w:rsidRPr="003F612F">
        <w:rPr>
          <w:rFonts w:cstheme="minorHAnsi"/>
          <w:color w:val="000000"/>
        </w:rPr>
        <w:t xml:space="preserve"> </w:t>
      </w:r>
      <w:r w:rsidR="003D433F" w:rsidRPr="003F612F">
        <w:rPr>
          <w:rFonts w:cstheme="minorHAnsi"/>
          <w:color w:val="000000"/>
        </w:rPr>
        <w:lastRenderedPageBreak/>
        <w:t>favorable</w:t>
      </w:r>
      <w:r w:rsidR="00FE7136" w:rsidRPr="003F612F">
        <w:rPr>
          <w:rFonts w:cstheme="minorHAnsi"/>
          <w:color w:val="000000"/>
        </w:rPr>
        <w:t xml:space="preserve">s, pero el Gobierno Nacional apeló esta resolución y el proceso está en trámite ante la Corte Suprema El proceso lleva más de tres años esperando ser resuelto sin movimiento en la causa. </w:t>
      </w:r>
    </w:p>
    <w:p w14:paraId="04658968" w14:textId="0A125D09" w:rsidR="00E413A2" w:rsidRPr="003F612F" w:rsidRDefault="008C34D5" w:rsidP="00762BF9">
      <w:pPr>
        <w:pStyle w:val="NormalWeb"/>
        <w:spacing w:before="0" w:beforeAutospacing="0" w:after="20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t>Por otro lado</w:t>
      </w:r>
      <w:r w:rsidR="00E413A2" w:rsidRPr="003F612F">
        <w:rPr>
          <w:rFonts w:asciiTheme="minorHAnsi" w:hAnsiTheme="minorHAnsi" w:cstheme="minorHAnsi"/>
          <w:color w:val="000000"/>
          <w:sz w:val="22"/>
          <w:szCs w:val="22"/>
          <w:lang w:val="es-AR"/>
        </w:rPr>
        <w:t xml:space="preserve">, la percepción de una </w:t>
      </w:r>
      <w:r w:rsidR="00B3441D">
        <w:rPr>
          <w:rFonts w:asciiTheme="minorHAnsi" w:hAnsiTheme="minorHAnsi" w:cstheme="minorHAnsi"/>
          <w:color w:val="000000"/>
          <w:sz w:val="22"/>
          <w:szCs w:val="22"/>
          <w:lang w:val="es-AR"/>
        </w:rPr>
        <w:t xml:space="preserve">PNC </w:t>
      </w:r>
      <w:r w:rsidR="00421243" w:rsidRPr="003F612F">
        <w:rPr>
          <w:rFonts w:asciiTheme="minorHAnsi" w:hAnsiTheme="minorHAnsi" w:cstheme="minorHAnsi"/>
          <w:color w:val="000000"/>
          <w:sz w:val="22"/>
          <w:szCs w:val="22"/>
          <w:lang w:val="es-AR"/>
        </w:rPr>
        <w:t>debido a</w:t>
      </w:r>
      <w:r w:rsidR="00E413A2" w:rsidRPr="003F612F">
        <w:rPr>
          <w:rFonts w:asciiTheme="minorHAnsi" w:hAnsiTheme="minorHAnsi" w:cstheme="minorHAnsi"/>
          <w:color w:val="000000"/>
          <w:sz w:val="22"/>
          <w:szCs w:val="22"/>
          <w:lang w:val="es-AR"/>
        </w:rPr>
        <w:t xml:space="preserve"> la edad (adulto mayor) es incompatible con una pensión por discapacidad, debiendo la </w:t>
      </w:r>
      <w:r w:rsidR="00AA3375">
        <w:rPr>
          <w:rFonts w:asciiTheme="minorHAnsi" w:hAnsiTheme="minorHAnsi" w:cstheme="minorHAnsi"/>
          <w:color w:val="000000"/>
          <w:sz w:val="22"/>
          <w:szCs w:val="22"/>
          <w:lang w:val="es-AR"/>
        </w:rPr>
        <w:t xml:space="preserve">PCD optar </w:t>
      </w:r>
      <w:r w:rsidR="00E413A2" w:rsidRPr="003F612F">
        <w:rPr>
          <w:rFonts w:asciiTheme="minorHAnsi" w:hAnsiTheme="minorHAnsi" w:cstheme="minorHAnsi"/>
          <w:color w:val="000000"/>
          <w:sz w:val="22"/>
          <w:szCs w:val="22"/>
          <w:lang w:val="es-AR"/>
        </w:rPr>
        <w:t xml:space="preserve">entre uno de los dos derechos. </w:t>
      </w:r>
      <w:r w:rsidRPr="003F612F">
        <w:rPr>
          <w:rFonts w:asciiTheme="minorHAnsi" w:hAnsiTheme="minorHAnsi" w:cstheme="minorHAnsi"/>
          <w:color w:val="000000"/>
          <w:sz w:val="22"/>
          <w:szCs w:val="22"/>
          <w:lang w:val="es-AR"/>
        </w:rPr>
        <w:t>REDI plant</w:t>
      </w:r>
      <w:r w:rsidR="005D7713" w:rsidRPr="003F612F">
        <w:rPr>
          <w:rFonts w:asciiTheme="minorHAnsi" w:hAnsiTheme="minorHAnsi" w:cstheme="minorHAnsi"/>
          <w:color w:val="000000"/>
          <w:sz w:val="22"/>
          <w:szCs w:val="22"/>
          <w:lang w:val="es-AR"/>
        </w:rPr>
        <w:t>eó</w:t>
      </w:r>
      <w:r w:rsidR="00E413A2" w:rsidRPr="003F612F">
        <w:rPr>
          <w:rFonts w:asciiTheme="minorHAnsi" w:hAnsiTheme="minorHAnsi" w:cstheme="minorHAnsi"/>
          <w:color w:val="000000"/>
          <w:sz w:val="22"/>
          <w:szCs w:val="22"/>
          <w:lang w:val="es-AR"/>
        </w:rPr>
        <w:t xml:space="preserve"> judicialmente que esto implica una discriminación </w:t>
      </w:r>
      <w:r w:rsidR="00917801">
        <w:rPr>
          <w:rFonts w:asciiTheme="minorHAnsi" w:hAnsiTheme="minorHAnsi" w:cstheme="minorHAnsi"/>
          <w:color w:val="000000"/>
          <w:sz w:val="22"/>
          <w:szCs w:val="22"/>
          <w:lang w:val="es-AR"/>
        </w:rPr>
        <w:t xml:space="preserve">por </w:t>
      </w:r>
      <w:r w:rsidR="00E413A2" w:rsidRPr="003F612F">
        <w:rPr>
          <w:rFonts w:asciiTheme="minorHAnsi" w:hAnsiTheme="minorHAnsi" w:cstheme="minorHAnsi"/>
          <w:color w:val="000000"/>
          <w:sz w:val="22"/>
          <w:szCs w:val="22"/>
          <w:lang w:val="es-AR"/>
        </w:rPr>
        <w:t>discapacidad</w:t>
      </w:r>
      <w:r w:rsidR="002E233E" w:rsidRPr="003F612F">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 xml:space="preserve">pues si una persona tiene una </w:t>
      </w:r>
      <w:r w:rsidR="00B3441D">
        <w:rPr>
          <w:rFonts w:asciiTheme="minorHAnsi" w:hAnsiTheme="minorHAnsi" w:cstheme="minorHAnsi"/>
          <w:color w:val="000000"/>
          <w:sz w:val="22"/>
          <w:szCs w:val="22"/>
          <w:lang w:val="es-AR"/>
        </w:rPr>
        <w:t>PNC</w:t>
      </w:r>
      <w:r w:rsidR="0077430D">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por discapacidad, el Estado argentino le niega la cobertura de la contingencia de vejez.</w:t>
      </w:r>
      <w:r w:rsidR="00917801">
        <w:rPr>
          <w:rFonts w:asciiTheme="minorHAnsi" w:hAnsiTheme="minorHAnsi" w:cstheme="minorHAnsi"/>
          <w:color w:val="000000"/>
          <w:sz w:val="22"/>
          <w:szCs w:val="22"/>
          <w:lang w:val="es-AR"/>
        </w:rPr>
        <w:t xml:space="preserve"> </w:t>
      </w:r>
    </w:p>
    <w:p w14:paraId="06CB5DFD" w14:textId="76A43A84" w:rsidR="00E413A2" w:rsidRPr="003F612F" w:rsidRDefault="00421243" w:rsidP="00762BF9">
      <w:pPr>
        <w:spacing w:after="240" w:line="276" w:lineRule="auto"/>
        <w:ind w:firstLine="720"/>
        <w:jc w:val="both"/>
        <w:rPr>
          <w:rFonts w:eastAsia="Times New Roman" w:cstheme="minorHAnsi"/>
          <w:lang w:val="es-AR" w:eastAsia="en-GB"/>
        </w:rPr>
      </w:pPr>
      <w:r>
        <w:rPr>
          <w:rFonts w:eastAsia="Times New Roman" w:cstheme="minorHAnsi"/>
          <w:color w:val="000000"/>
          <w:lang w:val="es-AR" w:eastAsia="en-GB"/>
        </w:rPr>
        <w:t>En la Provincia de Buenos Aires</w:t>
      </w:r>
      <w:r w:rsidR="00E413A2" w:rsidRPr="003F612F">
        <w:rPr>
          <w:rFonts w:eastAsia="Times New Roman" w:cstheme="minorHAnsi"/>
          <w:color w:val="000000"/>
          <w:lang w:val="es-AR" w:eastAsia="en-GB"/>
        </w:rPr>
        <w:t xml:space="preserve"> </w:t>
      </w:r>
      <w:r w:rsidR="00482A08" w:rsidRPr="003F612F">
        <w:rPr>
          <w:rFonts w:eastAsia="Times New Roman" w:cstheme="minorHAnsi"/>
          <w:color w:val="000000"/>
          <w:lang w:val="es-AR" w:eastAsia="en-GB"/>
        </w:rPr>
        <w:t xml:space="preserve">el monto de </w:t>
      </w:r>
      <w:r w:rsidR="00E413A2" w:rsidRPr="003F612F">
        <w:rPr>
          <w:rFonts w:eastAsia="Times New Roman" w:cstheme="minorHAnsi"/>
          <w:color w:val="000000"/>
          <w:lang w:val="es-AR" w:eastAsia="en-GB"/>
        </w:rPr>
        <w:t xml:space="preserve">las </w:t>
      </w:r>
      <w:r w:rsidR="00B3441D">
        <w:rPr>
          <w:rFonts w:eastAsia="Times New Roman" w:cstheme="minorHAnsi"/>
          <w:color w:val="000000"/>
          <w:lang w:val="es-AR" w:eastAsia="en-GB"/>
        </w:rPr>
        <w:t>PNC</w:t>
      </w:r>
      <w:r w:rsidR="00482A08" w:rsidRPr="003F612F">
        <w:rPr>
          <w:rFonts w:eastAsia="Times New Roman" w:cstheme="minorHAnsi"/>
          <w:color w:val="000000"/>
          <w:lang w:val="es-AR" w:eastAsia="en-GB"/>
        </w:rPr>
        <w:t>,</w:t>
      </w:r>
      <w:r w:rsidR="00E413A2" w:rsidRPr="003F612F">
        <w:rPr>
          <w:rFonts w:eastAsia="Times New Roman" w:cstheme="minorHAnsi"/>
          <w:color w:val="000000"/>
          <w:lang w:val="es-AR" w:eastAsia="en-GB"/>
        </w:rPr>
        <w:t xml:space="preserve"> reguladas a través de la Ley 10.205</w:t>
      </w:r>
      <w:r w:rsidR="00482A08" w:rsidRPr="003F612F">
        <w:rPr>
          <w:rFonts w:eastAsia="Times New Roman" w:cstheme="minorHAnsi"/>
          <w:color w:val="000000"/>
          <w:lang w:val="es-AR" w:eastAsia="en-GB"/>
        </w:rPr>
        <w:t xml:space="preserve">, </w:t>
      </w:r>
      <w:r w:rsidR="00E413A2" w:rsidRPr="003F612F">
        <w:rPr>
          <w:rFonts w:eastAsia="Times New Roman" w:cstheme="minorHAnsi"/>
          <w:color w:val="000000"/>
          <w:lang w:val="es-AR" w:eastAsia="en-GB"/>
        </w:rPr>
        <w:t>debe ser equivalente al haber mínimo jubilatorio vigente para los beneficiarios del Instituto de Previsión Social. Ante el incumplimiento de esta disposición</w:t>
      </w:r>
      <w:r w:rsidR="003034EB" w:rsidRPr="003F612F">
        <w:rPr>
          <w:rStyle w:val="Refdenotaalpie"/>
          <w:rFonts w:eastAsia="Times New Roman" w:cstheme="minorHAnsi"/>
          <w:color w:val="000000"/>
          <w:lang w:val="es-AR" w:eastAsia="en-GB"/>
        </w:rPr>
        <w:footnoteReference w:id="111"/>
      </w:r>
      <w:r w:rsidR="004E7D1F" w:rsidRPr="003F612F">
        <w:rPr>
          <w:rFonts w:eastAsia="Times New Roman" w:cstheme="minorHAnsi"/>
          <w:color w:val="000000"/>
          <w:lang w:val="es-AR" w:eastAsia="en-GB"/>
        </w:rPr>
        <w:t xml:space="preserve">, se </w:t>
      </w:r>
      <w:r w:rsidR="00E413A2" w:rsidRPr="003F612F">
        <w:rPr>
          <w:rFonts w:eastAsia="Times New Roman" w:cstheme="minorHAnsi"/>
          <w:color w:val="000000"/>
          <w:lang w:val="es-AR" w:eastAsia="en-GB"/>
        </w:rPr>
        <w:t>presentó una demanda colectiva</w:t>
      </w:r>
      <w:r w:rsidR="004E7D1F" w:rsidRPr="003F612F">
        <w:rPr>
          <w:rStyle w:val="Refdenotaalpie"/>
          <w:rFonts w:eastAsia="Times New Roman" w:cstheme="minorHAnsi"/>
          <w:color w:val="000000"/>
          <w:lang w:val="es-AR" w:eastAsia="en-GB"/>
        </w:rPr>
        <w:footnoteReference w:id="112"/>
      </w:r>
      <w:r w:rsidR="00E413A2" w:rsidRPr="003F612F">
        <w:rPr>
          <w:rFonts w:eastAsia="Times New Roman" w:cstheme="minorHAnsi"/>
          <w:color w:val="000000"/>
          <w:lang w:val="es-AR" w:eastAsia="en-GB"/>
        </w:rPr>
        <w:t xml:space="preserve">. La respuesta recibida fue que 25.000 personas beneficiarias fueran transferidas a la cobertura del sistema nacional. Sin embargo, esto suponía perder la cobertura de salud </w:t>
      </w:r>
      <w:r w:rsidR="00482A08" w:rsidRPr="003F612F">
        <w:rPr>
          <w:rFonts w:eastAsia="Times New Roman" w:cstheme="minorHAnsi"/>
          <w:color w:val="000000"/>
          <w:lang w:val="es-AR" w:eastAsia="en-GB"/>
        </w:rPr>
        <w:t xml:space="preserve">provincial que tiene </w:t>
      </w:r>
      <w:r w:rsidR="003034EB" w:rsidRPr="003F612F">
        <w:rPr>
          <w:rFonts w:eastAsia="Times New Roman" w:cstheme="minorHAnsi"/>
          <w:color w:val="000000"/>
          <w:lang w:val="es-AR" w:eastAsia="en-GB"/>
        </w:rPr>
        <w:t>mejores</w:t>
      </w:r>
      <w:r w:rsidR="00482A08" w:rsidRPr="003F612F">
        <w:rPr>
          <w:rFonts w:eastAsia="Times New Roman" w:cstheme="minorHAnsi"/>
          <w:color w:val="000000"/>
          <w:lang w:val="es-AR" w:eastAsia="en-GB"/>
        </w:rPr>
        <w:t xml:space="preserve"> </w:t>
      </w:r>
      <w:r w:rsidR="00E413A2" w:rsidRPr="003F612F">
        <w:rPr>
          <w:rFonts w:eastAsia="Times New Roman" w:cstheme="minorHAnsi"/>
          <w:color w:val="000000"/>
          <w:lang w:val="es-AR" w:eastAsia="en-GB"/>
        </w:rPr>
        <w:t>prestaciones</w:t>
      </w:r>
      <w:r w:rsidR="00482A08" w:rsidRPr="003F612F">
        <w:rPr>
          <w:rStyle w:val="Refdenotaalpie"/>
          <w:rFonts w:eastAsia="Times New Roman" w:cstheme="minorHAnsi"/>
          <w:color w:val="000000"/>
          <w:lang w:val="es-AR" w:eastAsia="en-GB"/>
        </w:rPr>
        <w:footnoteReference w:id="113"/>
      </w:r>
      <w:r w:rsidR="00E413A2" w:rsidRPr="003F612F">
        <w:rPr>
          <w:rFonts w:eastAsia="Times New Roman" w:cstheme="minorHAnsi"/>
          <w:color w:val="000000"/>
          <w:lang w:val="es-AR" w:eastAsia="en-GB"/>
        </w:rPr>
        <w:t xml:space="preserve">. Con la negativa, se propuso que conservaran la obra social, pero esto no se mantendría para pensiones otorgadas en adelante. Esto tampoco fue aceptado por el colectivo de personas demandantes. </w:t>
      </w:r>
    </w:p>
    <w:p w14:paraId="42E157B3" w14:textId="21F65AA6" w:rsidR="00E413A2" w:rsidRPr="003F612F" w:rsidRDefault="00E413A2" w:rsidP="00762BF9">
      <w:pPr>
        <w:spacing w:after="240" w:line="276" w:lineRule="auto"/>
        <w:ind w:firstLine="720"/>
        <w:jc w:val="both"/>
        <w:rPr>
          <w:rFonts w:eastAsia="Times New Roman" w:cstheme="minorHAnsi"/>
          <w:lang w:val="es-AR" w:eastAsia="en-GB"/>
        </w:rPr>
      </w:pPr>
      <w:r w:rsidRPr="003F612F">
        <w:rPr>
          <w:rFonts w:eastAsia="Times New Roman" w:cstheme="minorHAnsi"/>
          <w:color w:val="000000"/>
          <w:lang w:val="es-AR" w:eastAsia="en-GB"/>
        </w:rPr>
        <w:t>Por otra parte, la Tarjeta Alimentar, un programa de asistencia alimentaria para familias solo incorporó a personas con hijos con discapacidad, a pesar del reclamo del colectivo</w:t>
      </w:r>
      <w:r w:rsidR="00FC5443">
        <w:rPr>
          <w:rFonts w:eastAsia="Times New Roman" w:cstheme="minorHAnsi"/>
          <w:color w:val="000000"/>
          <w:lang w:val="es-AR" w:eastAsia="en-GB"/>
        </w:rPr>
        <w:t xml:space="preserve"> de que sean incluidas las PCD que se encuentra en situación de pobreza</w:t>
      </w:r>
      <w:r w:rsidRPr="003F612F">
        <w:rPr>
          <w:rFonts w:eastAsia="Times New Roman" w:cstheme="minorHAnsi"/>
          <w:color w:val="000000"/>
          <w:lang w:val="es-AR" w:eastAsia="en-GB"/>
        </w:rPr>
        <w:t>. Mientras la prestación “Ingreso Familiar de Emergencia (IFE)”</w:t>
      </w:r>
      <w:r w:rsidRPr="003F612F">
        <w:rPr>
          <w:rStyle w:val="Refdenotaalpie"/>
          <w:rFonts w:eastAsia="Times New Roman" w:cstheme="minorHAnsi"/>
          <w:color w:val="000000"/>
          <w:lang w:val="es-AR" w:eastAsia="en-GB"/>
        </w:rPr>
        <w:footnoteReference w:id="114"/>
      </w:r>
      <w:r w:rsidRPr="003F612F">
        <w:rPr>
          <w:rFonts w:eastAsia="Times New Roman" w:cstheme="minorHAnsi"/>
          <w:color w:val="000000"/>
          <w:lang w:val="es-AR" w:eastAsia="en-GB"/>
        </w:rPr>
        <w:t>, uno de los principales programas para morigerar la falta de ingresos de las familias durante la pandemia, no incluyó a las PCD.</w:t>
      </w:r>
    </w:p>
    <w:p w14:paraId="59EE4EFC" w14:textId="2F74C041" w:rsidR="00E413A2" w:rsidRPr="003F612F" w:rsidRDefault="000C216A"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sugeridas al Estado:</w:t>
      </w:r>
    </w:p>
    <w:p w14:paraId="16E466C0" w14:textId="12F533E3" w:rsidR="00193A65" w:rsidRPr="000C6B0A" w:rsidRDefault="00312510" w:rsidP="00762BF9">
      <w:pPr>
        <w:pStyle w:val="Prrafodelista"/>
        <w:numPr>
          <w:ilvl w:val="0"/>
          <w:numId w:val="3"/>
        </w:numPr>
        <w:spacing w:after="120" w:line="276" w:lineRule="auto"/>
        <w:jc w:val="both"/>
        <w:rPr>
          <w:rFonts w:eastAsia="Times New Roman" w:cstheme="minorHAnsi"/>
          <w:bCs/>
          <w:iCs/>
          <w:lang w:val="es-AR"/>
        </w:rPr>
      </w:pPr>
      <w:r w:rsidRPr="000C6B0A">
        <w:rPr>
          <w:rFonts w:eastAsia="Times New Roman" w:cstheme="minorHAnsi"/>
          <w:bCs/>
          <w:iCs/>
          <w:lang w:val="es-AR"/>
        </w:rPr>
        <w:t>Armonizar la protección social de acuerdo con lo establecido en la Convención. En particular las medidas orientadas a compatibilizar las pensiones no contributivas con contingencias sociales como la vejez y otros programas de ayuda económica a los que podrían acceder las PCD.</w:t>
      </w:r>
    </w:p>
    <w:tbl>
      <w:tblPr>
        <w:tblStyle w:val="Tablaconcuadrcula"/>
        <w:tblW w:w="0" w:type="auto"/>
        <w:tblLook w:val="04A0" w:firstRow="1" w:lastRow="0" w:firstColumn="1" w:lastColumn="0" w:noHBand="0" w:noVBand="1"/>
      </w:tblPr>
      <w:tblGrid>
        <w:gridCol w:w="9736"/>
      </w:tblGrid>
      <w:tr w:rsidR="0022029E" w14:paraId="17C1A415" w14:textId="77777777" w:rsidTr="0022029E">
        <w:tc>
          <w:tcPr>
            <w:tcW w:w="9736" w:type="dxa"/>
            <w:shd w:val="clear" w:color="auto" w:fill="D5DCE4" w:themeFill="text2" w:themeFillTint="33"/>
          </w:tcPr>
          <w:p w14:paraId="2B708C43" w14:textId="4B9F47DC" w:rsidR="0022029E" w:rsidRPr="0022029E" w:rsidRDefault="0022029E" w:rsidP="00762BF9">
            <w:pPr>
              <w:pStyle w:val="Ttulo2"/>
              <w:spacing w:line="276" w:lineRule="auto"/>
              <w:jc w:val="center"/>
              <w:outlineLvl w:val="1"/>
              <w:rPr>
                <w:rFonts w:ascii="Calibri" w:eastAsia="Times New Roman" w:hAnsi="Calibri" w:cs="Calibri"/>
                <w:b/>
                <w:bCs/>
                <w:color w:val="auto"/>
                <w:sz w:val="24"/>
                <w:szCs w:val="24"/>
                <w:lang w:val="es-AR"/>
              </w:rPr>
            </w:pPr>
            <w:bookmarkStart w:id="33" w:name="_Toc124881453"/>
            <w:r w:rsidRPr="0022029E">
              <w:rPr>
                <w:rFonts w:ascii="Calibri" w:eastAsia="Times New Roman" w:hAnsi="Calibri" w:cs="Calibri"/>
                <w:b/>
                <w:bCs/>
                <w:color w:val="auto"/>
                <w:sz w:val="24"/>
                <w:szCs w:val="24"/>
                <w:lang w:val="es-AR"/>
              </w:rPr>
              <w:lastRenderedPageBreak/>
              <w:t>Artículo 29: Participación en la vida política y pública</w:t>
            </w:r>
            <w:bookmarkEnd w:id="33"/>
          </w:p>
        </w:tc>
      </w:tr>
    </w:tbl>
    <w:p w14:paraId="0555C127" w14:textId="09BD9E29" w:rsidR="00C46EAE" w:rsidRPr="00C46EAE" w:rsidRDefault="00C80682" w:rsidP="00762BF9">
      <w:pPr>
        <w:pStyle w:val="NormalWeb"/>
        <w:spacing w:before="240" w:beforeAutospacing="0" w:after="240" w:afterAutospacing="0" w:line="276" w:lineRule="auto"/>
        <w:ind w:firstLine="720"/>
        <w:jc w:val="both"/>
        <w:rPr>
          <w:rFonts w:asciiTheme="minorHAnsi" w:hAnsiTheme="minorHAnsi" w:cstheme="minorHAnsi"/>
          <w:color w:val="000000"/>
          <w:sz w:val="22"/>
          <w:szCs w:val="22"/>
          <w:lang w:val="es-AR"/>
        </w:rPr>
      </w:pPr>
      <w:r w:rsidRPr="00C46EAE">
        <w:rPr>
          <w:rFonts w:asciiTheme="minorHAnsi" w:hAnsiTheme="minorHAnsi" w:cstheme="minorHAnsi"/>
          <w:color w:val="000000"/>
          <w:sz w:val="22"/>
          <w:szCs w:val="22"/>
          <w:lang w:val="es-AR"/>
        </w:rPr>
        <w:t>Persiste la</w:t>
      </w:r>
      <w:r w:rsidR="00E413A2" w:rsidRPr="00C46EAE">
        <w:rPr>
          <w:rFonts w:asciiTheme="minorHAnsi" w:hAnsiTheme="minorHAnsi" w:cstheme="minorHAnsi"/>
          <w:color w:val="000000"/>
          <w:sz w:val="22"/>
          <w:szCs w:val="22"/>
          <w:lang w:val="es-AR"/>
        </w:rPr>
        <w:t xml:space="preserve"> falta de accesibilidad para el sufragio autónomo, se</w:t>
      </w:r>
      <w:r w:rsidR="00452D1E" w:rsidRPr="00C46EAE">
        <w:rPr>
          <w:rFonts w:asciiTheme="minorHAnsi" w:hAnsiTheme="minorHAnsi" w:cstheme="minorHAnsi"/>
          <w:color w:val="000000"/>
          <w:sz w:val="22"/>
          <w:szCs w:val="22"/>
          <w:lang w:val="es-AR"/>
        </w:rPr>
        <w:t>creto</w:t>
      </w:r>
      <w:r w:rsidR="00E413A2" w:rsidRPr="00C46EAE">
        <w:rPr>
          <w:rFonts w:asciiTheme="minorHAnsi" w:hAnsiTheme="minorHAnsi" w:cstheme="minorHAnsi"/>
          <w:color w:val="000000"/>
          <w:sz w:val="22"/>
          <w:szCs w:val="22"/>
          <w:lang w:val="es-AR"/>
        </w:rPr>
        <w:t xml:space="preserve"> y en igualdad de condiciones de las </w:t>
      </w:r>
      <w:r w:rsidRPr="00C46EAE">
        <w:rPr>
          <w:rFonts w:asciiTheme="minorHAnsi" w:hAnsiTheme="minorHAnsi" w:cstheme="minorHAnsi"/>
          <w:color w:val="000000"/>
          <w:sz w:val="22"/>
          <w:szCs w:val="22"/>
          <w:lang w:val="es-AR"/>
        </w:rPr>
        <w:t>PCD</w:t>
      </w:r>
      <w:r w:rsidR="00E413A2" w:rsidRPr="00C46EAE">
        <w:rPr>
          <w:rFonts w:asciiTheme="minorHAnsi" w:hAnsiTheme="minorHAnsi" w:cstheme="minorHAnsi"/>
          <w:color w:val="000000"/>
          <w:sz w:val="22"/>
          <w:szCs w:val="22"/>
          <w:lang w:val="es-AR"/>
        </w:rPr>
        <w:t>.</w:t>
      </w:r>
      <w:r w:rsidR="00DB3401" w:rsidRPr="00C46EAE">
        <w:rPr>
          <w:rFonts w:asciiTheme="minorHAnsi" w:hAnsiTheme="minorHAnsi" w:cstheme="minorHAnsi"/>
          <w:color w:val="000000"/>
          <w:sz w:val="22"/>
          <w:szCs w:val="22"/>
          <w:lang w:val="es-AR"/>
        </w:rPr>
        <w:t xml:space="preserve"> </w:t>
      </w:r>
      <w:r w:rsidR="00C46EAE" w:rsidRPr="00C46EAE">
        <w:rPr>
          <w:rFonts w:asciiTheme="minorHAnsi" w:hAnsiTheme="minorHAnsi" w:cstheme="minorHAnsi"/>
          <w:color w:val="000000"/>
          <w:sz w:val="22"/>
          <w:szCs w:val="22"/>
          <w:lang w:val="es-AR"/>
        </w:rPr>
        <w:t>En materia de derechos políticos el Código Nacional Electoral continúa restringiendo el derecho al voto de las PCD</w:t>
      </w:r>
      <w:r w:rsidR="00C46EAE" w:rsidRPr="00C46EAE">
        <w:rPr>
          <w:rStyle w:val="Refdenotaalpie"/>
          <w:rFonts w:asciiTheme="minorHAnsi" w:hAnsiTheme="minorHAnsi" w:cstheme="minorHAnsi"/>
          <w:color w:val="000000"/>
          <w:sz w:val="22"/>
          <w:szCs w:val="22"/>
          <w:lang w:val="es-AR"/>
        </w:rPr>
        <w:footnoteReference w:id="115"/>
      </w:r>
      <w:r w:rsidR="00C46EAE" w:rsidRPr="00C46EAE">
        <w:rPr>
          <w:rFonts w:asciiTheme="minorHAnsi" w:hAnsiTheme="minorHAnsi" w:cstheme="minorHAnsi"/>
          <w:color w:val="000000"/>
          <w:sz w:val="22"/>
          <w:szCs w:val="22"/>
          <w:lang w:val="es-AR"/>
        </w:rPr>
        <w:t xml:space="preserve"> y como consecuencia de ello también se ve afectado el derecho a ser elegidas</w:t>
      </w:r>
      <w:r w:rsidR="00C46EAE" w:rsidRPr="00C46EAE">
        <w:rPr>
          <w:rStyle w:val="Refdenotaalpie"/>
          <w:rFonts w:asciiTheme="minorHAnsi" w:hAnsiTheme="minorHAnsi" w:cstheme="minorHAnsi"/>
          <w:color w:val="000000"/>
          <w:sz w:val="22"/>
          <w:szCs w:val="22"/>
          <w:lang w:val="es-AR"/>
        </w:rPr>
        <w:footnoteReference w:id="116"/>
      </w:r>
      <w:r w:rsidR="00C46EAE" w:rsidRPr="00C46EAE">
        <w:rPr>
          <w:rFonts w:asciiTheme="minorHAnsi" w:hAnsiTheme="minorHAnsi" w:cstheme="minorHAnsi"/>
          <w:color w:val="000000"/>
          <w:sz w:val="22"/>
          <w:szCs w:val="22"/>
          <w:lang w:val="es-AR"/>
        </w:rPr>
        <w:t>. Estas restricciones se reproducen a nivel de legislación provincial</w:t>
      </w:r>
      <w:r w:rsidR="00C46EAE" w:rsidRPr="00C46EAE">
        <w:rPr>
          <w:rStyle w:val="Refdenotaalpie"/>
          <w:rFonts w:asciiTheme="minorHAnsi" w:hAnsiTheme="minorHAnsi" w:cstheme="minorHAnsi"/>
          <w:color w:val="000000"/>
          <w:sz w:val="22"/>
          <w:szCs w:val="22"/>
          <w:lang w:val="es-AR"/>
        </w:rPr>
        <w:footnoteReference w:id="117"/>
      </w:r>
      <w:r w:rsidR="00C46EAE" w:rsidRPr="00C46EAE">
        <w:rPr>
          <w:rFonts w:asciiTheme="minorHAnsi" w:hAnsiTheme="minorHAnsi" w:cstheme="minorHAnsi"/>
          <w:color w:val="000000"/>
          <w:sz w:val="22"/>
          <w:szCs w:val="22"/>
          <w:lang w:val="es-AR"/>
        </w:rPr>
        <w:t xml:space="preserve">. </w:t>
      </w:r>
    </w:p>
    <w:p w14:paraId="72308DE8" w14:textId="008EE2FF" w:rsidR="00E413A2" w:rsidRPr="003F612F" w:rsidRDefault="00C46EAE" w:rsidP="00762BF9">
      <w:pPr>
        <w:spacing w:after="240" w:line="276" w:lineRule="auto"/>
        <w:ind w:firstLine="720"/>
        <w:jc w:val="both"/>
        <w:rPr>
          <w:rFonts w:eastAsia="Times New Roman" w:cstheme="minorHAnsi"/>
          <w:lang w:val="es-AR" w:eastAsia="en-GB"/>
        </w:rPr>
      </w:pPr>
      <w:r w:rsidRPr="00C46EAE">
        <w:rPr>
          <w:rFonts w:eastAsia="Times New Roman" w:cstheme="minorHAnsi"/>
          <w:color w:val="000000"/>
          <w:lang w:val="es-AR" w:eastAsia="en-GB"/>
        </w:rPr>
        <w:t>Si bien se introdujo el voto asistido</w:t>
      </w:r>
      <w:r w:rsidRPr="00C46EAE">
        <w:rPr>
          <w:rStyle w:val="Refdenotaalpie"/>
          <w:rFonts w:eastAsia="Times New Roman" w:cstheme="minorHAnsi"/>
          <w:color w:val="000000"/>
          <w:lang w:val="es-AR" w:eastAsia="en-GB"/>
        </w:rPr>
        <w:footnoteReference w:id="118"/>
      </w:r>
      <w:r w:rsidRPr="00C46EAE">
        <w:rPr>
          <w:rFonts w:eastAsia="Times New Roman" w:cstheme="minorHAnsi"/>
          <w:color w:val="000000"/>
          <w:lang w:val="es-AR" w:eastAsia="en-GB"/>
        </w:rPr>
        <w:t>, que consiste en que la PCD puede ingresar al cuarto oscuro acompañada por alguien de su confianza, es una solución que no garantiza la autonomía y el voto secreto</w:t>
      </w:r>
      <w:r>
        <w:rPr>
          <w:rFonts w:eastAsia="Times New Roman" w:cstheme="minorHAnsi"/>
          <w:color w:val="000000"/>
          <w:lang w:val="es-AR" w:eastAsia="en-GB"/>
        </w:rPr>
        <w:t xml:space="preserve">. </w:t>
      </w:r>
      <w:r w:rsidR="002246D3">
        <w:rPr>
          <w:rFonts w:eastAsia="Times New Roman" w:cstheme="minorHAnsi"/>
          <w:color w:val="000000"/>
          <w:lang w:val="es-AR" w:eastAsia="en-GB"/>
        </w:rPr>
        <w:t>D</w:t>
      </w:r>
      <w:r w:rsidR="00DB3401" w:rsidRPr="003F612F">
        <w:rPr>
          <w:rFonts w:eastAsia="Times New Roman" w:cstheme="minorHAnsi"/>
          <w:color w:val="000000"/>
          <w:lang w:val="es-AR" w:eastAsia="en-GB"/>
        </w:rPr>
        <w:t xml:space="preserve">esde </w:t>
      </w:r>
      <w:r w:rsidR="00E413A2" w:rsidRPr="003F612F">
        <w:rPr>
          <w:rFonts w:eastAsia="Times New Roman" w:cstheme="minorHAnsi"/>
          <w:color w:val="000000"/>
          <w:lang w:val="es-AR" w:eastAsia="en-GB"/>
        </w:rPr>
        <w:t>2015 no se ha implementado ningún mecanismo que les permita identificar de manera autónoma las distintas opciones electorales.</w:t>
      </w:r>
      <w:r w:rsidR="008E4CDB">
        <w:rPr>
          <w:rFonts w:eastAsia="Times New Roman" w:cstheme="minorHAnsi"/>
          <w:color w:val="000000"/>
          <w:lang w:val="es-AR" w:eastAsia="en-GB"/>
        </w:rPr>
        <w:t xml:space="preserve"> </w:t>
      </w:r>
      <w:r>
        <w:rPr>
          <w:rFonts w:eastAsia="Times New Roman" w:cstheme="minorHAnsi"/>
          <w:color w:val="000000"/>
          <w:lang w:val="es-AR" w:eastAsia="en-GB"/>
        </w:rPr>
        <w:t xml:space="preserve">Por su parte, </w:t>
      </w:r>
      <w:r w:rsidR="008E4CDB">
        <w:rPr>
          <w:rFonts w:eastAsia="Times New Roman" w:cstheme="minorHAnsi"/>
          <w:color w:val="000000"/>
          <w:lang w:val="es-AR" w:eastAsia="en-GB"/>
        </w:rPr>
        <w:t>la Acordada 27</w:t>
      </w:r>
      <w:r w:rsidR="00452D1E">
        <w:rPr>
          <w:rFonts w:eastAsia="Times New Roman" w:cstheme="minorHAnsi"/>
          <w:color w:val="000000"/>
          <w:lang w:val="es-AR" w:eastAsia="en-GB"/>
        </w:rPr>
        <w:t>/2015</w:t>
      </w:r>
      <w:r w:rsidR="00452D1E">
        <w:rPr>
          <w:rStyle w:val="Refdenotaalpie"/>
          <w:rFonts w:eastAsia="Times New Roman" w:cstheme="minorHAnsi"/>
          <w:color w:val="000000"/>
          <w:lang w:val="es-AR" w:eastAsia="en-GB"/>
        </w:rPr>
        <w:footnoteReference w:id="119"/>
      </w:r>
      <w:r w:rsidR="00452D1E">
        <w:rPr>
          <w:rFonts w:eastAsia="Times New Roman" w:cstheme="minorHAnsi"/>
          <w:color w:val="000000"/>
          <w:lang w:val="es-AR" w:eastAsia="en-GB"/>
        </w:rPr>
        <w:t xml:space="preserve"> </w:t>
      </w:r>
      <w:r w:rsidR="007B4F6F">
        <w:rPr>
          <w:rFonts w:eastAsia="Times New Roman" w:cstheme="minorHAnsi"/>
          <w:color w:val="000000"/>
          <w:lang w:val="es-AR" w:eastAsia="en-GB"/>
        </w:rPr>
        <w:t>de la Cámara Nacional Electoral</w:t>
      </w:r>
      <w:r w:rsidR="008E4CDB">
        <w:rPr>
          <w:rFonts w:eastAsia="Times New Roman" w:cstheme="minorHAnsi"/>
          <w:color w:val="000000"/>
          <w:lang w:val="es-AR" w:eastAsia="en-GB"/>
        </w:rPr>
        <w:t xml:space="preserve"> establece que las PCD no pueden formar parte de las autoridades de mesa y establece de hecho </w:t>
      </w:r>
      <w:r w:rsidR="003B4832">
        <w:rPr>
          <w:rFonts w:eastAsia="Times New Roman" w:cstheme="minorHAnsi"/>
          <w:color w:val="000000"/>
          <w:lang w:val="es-AR" w:eastAsia="en-GB"/>
        </w:rPr>
        <w:t>la eximición</w:t>
      </w:r>
      <w:r w:rsidR="00D675F5">
        <w:rPr>
          <w:rFonts w:eastAsia="Times New Roman" w:cstheme="minorHAnsi"/>
          <w:color w:val="000000"/>
          <w:lang w:val="es-AR" w:eastAsia="en-GB"/>
        </w:rPr>
        <w:t xml:space="preserve"> del </w:t>
      </w:r>
      <w:proofErr w:type="spellStart"/>
      <w:r w:rsidR="00D675F5">
        <w:rPr>
          <w:rFonts w:eastAsia="Times New Roman" w:cstheme="minorHAnsi"/>
          <w:color w:val="000000"/>
          <w:lang w:val="es-AR" w:eastAsia="en-GB"/>
        </w:rPr>
        <w:t>del</w:t>
      </w:r>
      <w:proofErr w:type="spellEnd"/>
      <w:r w:rsidR="00D675F5">
        <w:rPr>
          <w:rFonts w:eastAsia="Times New Roman" w:cstheme="minorHAnsi"/>
          <w:color w:val="000000"/>
          <w:lang w:val="es-AR" w:eastAsia="en-GB"/>
        </w:rPr>
        <w:t xml:space="preserve"> voto</w:t>
      </w:r>
      <w:r w:rsidR="003B4832">
        <w:rPr>
          <w:rFonts w:eastAsia="Times New Roman" w:cstheme="minorHAnsi"/>
          <w:color w:val="000000"/>
          <w:lang w:val="es-AR" w:eastAsia="en-GB"/>
        </w:rPr>
        <w:t xml:space="preserve"> obligatorio</w:t>
      </w:r>
      <w:r w:rsidR="00D675F5">
        <w:rPr>
          <w:rFonts w:eastAsia="Times New Roman" w:cstheme="minorHAnsi"/>
          <w:color w:val="000000"/>
          <w:lang w:val="es-AR" w:eastAsia="en-GB"/>
        </w:rPr>
        <w:t xml:space="preserve"> </w:t>
      </w:r>
      <w:r w:rsidR="003B4832">
        <w:rPr>
          <w:rFonts w:eastAsia="Times New Roman" w:cstheme="minorHAnsi"/>
          <w:color w:val="000000"/>
          <w:lang w:val="es-AR" w:eastAsia="en-GB"/>
        </w:rPr>
        <w:t>a quienes cuenten con CUD.</w:t>
      </w:r>
    </w:p>
    <w:p w14:paraId="4BC0FD1C" w14:textId="03E2C730" w:rsidR="00E413A2" w:rsidRDefault="00DB3401" w:rsidP="00762BF9">
      <w:pPr>
        <w:spacing w:after="240" w:line="276" w:lineRule="auto"/>
        <w:ind w:firstLine="720"/>
        <w:jc w:val="both"/>
        <w:rPr>
          <w:rFonts w:eastAsia="Times New Roman" w:cstheme="minorHAnsi"/>
          <w:color w:val="000000"/>
          <w:lang w:val="es-AR" w:eastAsia="en-GB"/>
        </w:rPr>
      </w:pPr>
      <w:r w:rsidRPr="003F612F">
        <w:rPr>
          <w:rFonts w:eastAsia="Times New Roman" w:cstheme="minorHAnsi"/>
          <w:color w:val="000000"/>
          <w:lang w:val="es-AR" w:eastAsia="en-GB"/>
        </w:rPr>
        <w:t>Continúan las</w:t>
      </w:r>
      <w:r w:rsidR="00E413A2" w:rsidRPr="003F612F">
        <w:rPr>
          <w:rFonts w:eastAsia="Times New Roman" w:cstheme="minorHAnsi"/>
          <w:color w:val="000000"/>
          <w:lang w:val="es-AR" w:eastAsia="en-GB"/>
        </w:rPr>
        <w:t xml:space="preserve"> barreras físicas en los establecimientos donde se realizan los comicios. </w:t>
      </w:r>
      <w:r w:rsidRPr="003F612F">
        <w:rPr>
          <w:rFonts w:eastAsia="Times New Roman" w:cstheme="minorHAnsi"/>
          <w:color w:val="000000"/>
          <w:lang w:val="es-AR" w:eastAsia="en-GB"/>
        </w:rPr>
        <w:t>A</w:t>
      </w:r>
      <w:r w:rsidR="00E413A2" w:rsidRPr="003F612F">
        <w:rPr>
          <w:rFonts w:eastAsia="Times New Roman" w:cstheme="minorHAnsi"/>
          <w:color w:val="000000"/>
          <w:lang w:val="es-AR" w:eastAsia="en-GB"/>
        </w:rPr>
        <w:t xml:space="preserve">unque exista el cuarto oscuro accesible ubicado en planta baja, al ser inaccesible la entrada al edificio, resulta imposible su uso por parte de </w:t>
      </w:r>
      <w:r w:rsidRPr="003F612F">
        <w:rPr>
          <w:rFonts w:eastAsia="Times New Roman" w:cstheme="minorHAnsi"/>
          <w:color w:val="000000"/>
          <w:lang w:val="es-AR" w:eastAsia="en-GB"/>
        </w:rPr>
        <w:t xml:space="preserve">PCD </w:t>
      </w:r>
      <w:r w:rsidR="00E413A2" w:rsidRPr="003F612F">
        <w:rPr>
          <w:rFonts w:eastAsia="Times New Roman" w:cstheme="minorHAnsi"/>
          <w:color w:val="000000"/>
          <w:lang w:val="es-AR" w:eastAsia="en-GB"/>
        </w:rPr>
        <w:t xml:space="preserve">motriz. </w:t>
      </w:r>
      <w:r w:rsidRPr="003F612F">
        <w:rPr>
          <w:rFonts w:eastAsia="Times New Roman" w:cstheme="minorHAnsi"/>
          <w:color w:val="000000"/>
          <w:lang w:val="es-AR" w:eastAsia="en-GB"/>
        </w:rPr>
        <w:t>No existe</w:t>
      </w:r>
      <w:r w:rsidR="00E413A2" w:rsidRPr="003F612F">
        <w:rPr>
          <w:rFonts w:eastAsia="Times New Roman" w:cstheme="minorHAnsi"/>
          <w:color w:val="000000"/>
          <w:lang w:val="es-AR" w:eastAsia="en-GB"/>
        </w:rPr>
        <w:t xml:space="preserve"> una coordinación previa entre los diversos ministerios, la Dirección Nacional Electoral y la justicia electoral para garantizar que todos los lugares de votación sean plenamente accesibles.</w:t>
      </w:r>
    </w:p>
    <w:p w14:paraId="45BAF084" w14:textId="395D0809" w:rsidR="00E413A2" w:rsidRPr="003F612F" w:rsidRDefault="004C12B1"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propuestas al Estado:</w:t>
      </w:r>
    </w:p>
    <w:p w14:paraId="7C8FAB50" w14:textId="08B6B765" w:rsidR="001B1FBF" w:rsidRDefault="00E60A33" w:rsidP="002246D3">
      <w:pPr>
        <w:pStyle w:val="Prrafodelista"/>
        <w:numPr>
          <w:ilvl w:val="0"/>
          <w:numId w:val="33"/>
        </w:numPr>
        <w:tabs>
          <w:tab w:val="left" w:pos="1785"/>
        </w:tabs>
        <w:spacing w:after="240" w:line="276" w:lineRule="auto"/>
        <w:ind w:left="714" w:hanging="357"/>
        <w:contextualSpacing w:val="0"/>
        <w:jc w:val="both"/>
        <w:rPr>
          <w:rFonts w:eastAsia="Times New Roman" w:cstheme="minorHAnsi"/>
          <w:bCs/>
          <w:iCs/>
        </w:rPr>
      </w:pPr>
      <w:r w:rsidRPr="009414E5">
        <w:rPr>
          <w:rFonts w:eastAsia="Times New Roman" w:cstheme="minorHAnsi"/>
          <w:bCs/>
          <w:iCs/>
        </w:rPr>
        <w:t xml:space="preserve">Implementar mecanismos para garantizar la </w:t>
      </w:r>
      <w:r w:rsidR="007D61FE">
        <w:rPr>
          <w:rFonts w:eastAsia="Times New Roman" w:cstheme="minorHAnsi"/>
          <w:bCs/>
          <w:iCs/>
        </w:rPr>
        <w:t>accesibilidad física y comunicacional en las elecciones.</w:t>
      </w:r>
      <w:r w:rsidR="00FB603E">
        <w:rPr>
          <w:rFonts w:eastAsia="Times New Roman" w:cstheme="minorHAnsi"/>
          <w:bCs/>
          <w:iCs/>
        </w:rPr>
        <w:t xml:space="preserve"> </w:t>
      </w:r>
      <w:r w:rsidR="00F1668F">
        <w:rPr>
          <w:rFonts w:eastAsia="Times New Roman" w:cstheme="minorHAnsi"/>
          <w:bCs/>
          <w:iCs/>
        </w:rPr>
        <w:t>Modificar el artículo</w:t>
      </w:r>
      <w:r w:rsidR="007B4F6F">
        <w:rPr>
          <w:rFonts w:eastAsia="Times New Roman" w:cstheme="minorHAnsi"/>
          <w:bCs/>
          <w:iCs/>
        </w:rPr>
        <w:t xml:space="preserve"> el artículo 3a</w:t>
      </w:r>
      <w:r w:rsidR="00F1668F">
        <w:rPr>
          <w:rFonts w:eastAsia="Times New Roman" w:cstheme="minorHAnsi"/>
          <w:bCs/>
          <w:iCs/>
        </w:rPr>
        <w:t xml:space="preserve"> Código Electoral que permite que no voten las PCD con restricción de capacidad.</w:t>
      </w:r>
    </w:p>
    <w:p w14:paraId="1CA209AE" w14:textId="3A32159D" w:rsidR="00E60A33" w:rsidRPr="009414E5" w:rsidRDefault="007D61FE" w:rsidP="002246D3">
      <w:pPr>
        <w:pStyle w:val="Prrafodelista"/>
        <w:numPr>
          <w:ilvl w:val="0"/>
          <w:numId w:val="33"/>
        </w:numPr>
        <w:tabs>
          <w:tab w:val="left" w:pos="1785"/>
        </w:tabs>
        <w:spacing w:after="240" w:line="276" w:lineRule="auto"/>
        <w:ind w:left="714" w:hanging="357"/>
        <w:contextualSpacing w:val="0"/>
        <w:jc w:val="both"/>
        <w:rPr>
          <w:rFonts w:eastAsia="Times New Roman" w:cstheme="minorHAnsi"/>
          <w:bCs/>
          <w:iCs/>
        </w:rPr>
      </w:pPr>
      <w:r w:rsidRPr="009414E5">
        <w:rPr>
          <w:rFonts w:eastAsia="Times New Roman" w:cstheme="minorHAnsi"/>
          <w:bCs/>
          <w:iCs/>
        </w:rPr>
        <w:t xml:space="preserve"> </w:t>
      </w:r>
      <w:r w:rsidR="00FB603E">
        <w:rPr>
          <w:rFonts w:eastAsia="Times New Roman" w:cstheme="minorHAnsi"/>
          <w:bCs/>
          <w:iCs/>
        </w:rPr>
        <w:t>Garantizar que las</w:t>
      </w:r>
      <w:r>
        <w:rPr>
          <w:rFonts w:eastAsia="Times New Roman" w:cstheme="minorHAnsi"/>
          <w:bCs/>
          <w:iCs/>
        </w:rPr>
        <w:t xml:space="preserve"> PCD puedan </w:t>
      </w:r>
      <w:r w:rsidR="00E60A33" w:rsidRPr="009414E5">
        <w:rPr>
          <w:rFonts w:eastAsia="Times New Roman" w:cstheme="minorHAnsi"/>
          <w:bCs/>
          <w:iCs/>
        </w:rPr>
        <w:t>ser elegidas para el ejercicio de cargos públicos</w:t>
      </w:r>
      <w:r w:rsidR="00E1406B">
        <w:rPr>
          <w:rFonts w:eastAsia="Times New Roman" w:cstheme="minorHAnsi"/>
          <w:bCs/>
          <w:iCs/>
        </w:rPr>
        <w:t xml:space="preserve"> y</w:t>
      </w:r>
      <w:r w:rsidR="000765C3">
        <w:rPr>
          <w:rFonts w:eastAsia="Times New Roman" w:cstheme="minorHAnsi"/>
          <w:bCs/>
          <w:iCs/>
        </w:rPr>
        <w:t xml:space="preserve"> </w:t>
      </w:r>
      <w:r w:rsidR="00D42C57">
        <w:rPr>
          <w:rFonts w:eastAsia="Times New Roman" w:cstheme="minorHAnsi"/>
          <w:bCs/>
          <w:iCs/>
        </w:rPr>
        <w:t>como autoridades de mesa</w:t>
      </w:r>
      <w:r w:rsidR="00B70E97">
        <w:rPr>
          <w:rFonts w:eastAsia="Times New Roman" w:cstheme="minorHAnsi"/>
          <w:bCs/>
          <w:iCs/>
        </w:rPr>
        <w:t>.</w:t>
      </w:r>
      <w:r w:rsidR="00E40489">
        <w:rPr>
          <w:rFonts w:eastAsia="Times New Roman" w:cstheme="minorHAnsi"/>
          <w:bCs/>
          <w:iCs/>
        </w:rPr>
        <w:t xml:space="preserve"> </w:t>
      </w:r>
      <w:r w:rsidR="00FB603E">
        <w:rPr>
          <w:rFonts w:eastAsia="Times New Roman" w:cstheme="minorHAnsi"/>
          <w:bCs/>
          <w:iCs/>
        </w:rPr>
        <w:t>Derogar la Acordada 27.</w:t>
      </w:r>
    </w:p>
    <w:tbl>
      <w:tblPr>
        <w:tblStyle w:val="Tablaconcuadrcula"/>
        <w:tblW w:w="0" w:type="auto"/>
        <w:tblLook w:val="04A0" w:firstRow="1" w:lastRow="0" w:firstColumn="1" w:lastColumn="0" w:noHBand="0" w:noVBand="1"/>
      </w:tblPr>
      <w:tblGrid>
        <w:gridCol w:w="9736"/>
      </w:tblGrid>
      <w:tr w:rsidR="00BA6C16" w14:paraId="0885E89C" w14:textId="77777777" w:rsidTr="00BA6C16">
        <w:tc>
          <w:tcPr>
            <w:tcW w:w="9736" w:type="dxa"/>
            <w:shd w:val="clear" w:color="auto" w:fill="D5DCE4" w:themeFill="text2" w:themeFillTint="33"/>
          </w:tcPr>
          <w:p w14:paraId="307B62B1" w14:textId="420D3AC6" w:rsidR="00BA6C16" w:rsidRPr="00BA6C16" w:rsidRDefault="00BA6C16" w:rsidP="00762BF9">
            <w:pPr>
              <w:spacing w:line="276" w:lineRule="auto"/>
              <w:jc w:val="center"/>
              <w:rPr>
                <w:rFonts w:eastAsia="Times New Roman" w:cstheme="minorHAnsi"/>
                <w:b/>
                <w:iCs/>
                <w:sz w:val="24"/>
                <w:szCs w:val="24"/>
                <w:lang w:val="es-AR"/>
              </w:rPr>
            </w:pPr>
            <w:r w:rsidRPr="00BA6C16">
              <w:rPr>
                <w:rFonts w:eastAsia="Times New Roman" w:cstheme="minorHAnsi"/>
                <w:b/>
                <w:iCs/>
                <w:sz w:val="24"/>
                <w:szCs w:val="24"/>
                <w:lang w:val="es-AR"/>
              </w:rPr>
              <w:t>Artículo 30: Participación en la vida cultural, las actividades recreativas, el esparcimiento y el deporte</w:t>
            </w:r>
          </w:p>
        </w:tc>
      </w:tr>
    </w:tbl>
    <w:p w14:paraId="168E34C1" w14:textId="0E5E8AD3" w:rsidR="00452D1E" w:rsidRPr="003F612F" w:rsidRDefault="00452D1E" w:rsidP="00762BF9">
      <w:pPr>
        <w:spacing w:before="240" w:after="240" w:line="276" w:lineRule="auto"/>
        <w:ind w:firstLine="720"/>
        <w:jc w:val="both"/>
        <w:rPr>
          <w:rFonts w:cstheme="minorHAnsi"/>
          <w:lang w:val="es-AR"/>
        </w:rPr>
      </w:pPr>
      <w:r w:rsidRPr="003F612F">
        <w:rPr>
          <w:rFonts w:cstheme="minorHAnsi"/>
          <w:lang w:val="es-AR"/>
        </w:rPr>
        <w:t>Los programas y reglamentos que enuncian la implementación de accesibilidad</w:t>
      </w:r>
      <w:r w:rsidR="002246D3">
        <w:rPr>
          <w:rFonts w:cstheme="minorHAnsi"/>
          <w:lang w:val="es-AR"/>
        </w:rPr>
        <w:t xml:space="preserve"> aplican c</w:t>
      </w:r>
      <w:r w:rsidRPr="003F612F">
        <w:rPr>
          <w:rFonts w:cstheme="minorHAnsi"/>
          <w:lang w:val="es-AR"/>
        </w:rPr>
        <w:t>riterios no inclusivos. En salidas institucionales se suple la falta de accesibilidad -incluso en las obras nuevas- con asistencia personal, siendo las PCD quienes se adaptan a los entornos. De igual manera, hay una aplicación errónea de los ajustes razonables</w:t>
      </w:r>
      <w:r w:rsidRPr="003F612F">
        <w:rPr>
          <w:rFonts w:cstheme="minorHAnsi"/>
          <w:vertAlign w:val="superscript"/>
          <w:lang w:val="es-AR"/>
        </w:rPr>
        <w:footnoteReference w:id="120"/>
      </w:r>
      <w:r w:rsidRPr="003F612F">
        <w:rPr>
          <w:rFonts w:cstheme="minorHAnsi"/>
          <w:lang w:val="es-AR"/>
        </w:rPr>
        <w:t xml:space="preserve"> en instancias de accesibilidad obligada. No existen programas que implementen diseño inclusivo situado, articulando las premisas de accesibilidad con situaciones concretas</w:t>
      </w:r>
      <w:r w:rsidRPr="003F612F">
        <w:rPr>
          <w:rFonts w:cstheme="minorHAnsi"/>
          <w:vertAlign w:val="superscript"/>
          <w:lang w:val="es-AR"/>
        </w:rPr>
        <w:footnoteReference w:id="121"/>
      </w:r>
      <w:r w:rsidRPr="003F612F">
        <w:rPr>
          <w:rFonts w:cstheme="minorHAnsi"/>
          <w:lang w:val="es-AR"/>
        </w:rPr>
        <w:t xml:space="preserve">. </w:t>
      </w:r>
    </w:p>
    <w:p w14:paraId="48BED29E" w14:textId="23FC6A07" w:rsidR="00E413A2" w:rsidRPr="003F612F" w:rsidRDefault="00DB3401" w:rsidP="00762BF9">
      <w:pPr>
        <w:pStyle w:val="NormalWeb"/>
        <w:spacing w:after="24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lastRenderedPageBreak/>
        <w:t>Son</w:t>
      </w:r>
      <w:r w:rsidR="00E413A2" w:rsidRPr="003F612F">
        <w:rPr>
          <w:rFonts w:asciiTheme="minorHAnsi" w:hAnsiTheme="minorHAnsi" w:cstheme="minorHAnsi"/>
          <w:color w:val="000000"/>
          <w:sz w:val="22"/>
          <w:szCs w:val="22"/>
          <w:lang w:val="es-AR"/>
        </w:rPr>
        <w:t xml:space="preserve"> reiteradas las prohibiciones a </w:t>
      </w:r>
      <w:r w:rsidRPr="003F612F">
        <w:rPr>
          <w:rFonts w:asciiTheme="minorHAnsi" w:hAnsiTheme="minorHAnsi" w:cstheme="minorHAnsi"/>
          <w:color w:val="000000"/>
          <w:sz w:val="22"/>
          <w:szCs w:val="22"/>
          <w:lang w:val="es-AR"/>
        </w:rPr>
        <w:t xml:space="preserve">PCD </w:t>
      </w:r>
      <w:r w:rsidR="00E413A2" w:rsidRPr="003F612F">
        <w:rPr>
          <w:rFonts w:asciiTheme="minorHAnsi" w:hAnsiTheme="minorHAnsi" w:cstheme="minorHAnsi"/>
          <w:color w:val="000000"/>
          <w:sz w:val="22"/>
          <w:szCs w:val="22"/>
          <w:lang w:val="es-AR"/>
        </w:rPr>
        <w:t xml:space="preserve">visual para ingresar a lugares turísticos. Tal es el caso del Parque Nacional Iguazú (Misiones) donde tienen prohibido participar de un paseo en barco, denominado "La Gran Aventura", cuya concesión pertenece a la empresa Iguazú </w:t>
      </w:r>
      <w:proofErr w:type="spellStart"/>
      <w:r w:rsidR="00E413A2" w:rsidRPr="003F612F">
        <w:rPr>
          <w:rFonts w:asciiTheme="minorHAnsi" w:hAnsiTheme="minorHAnsi" w:cstheme="minorHAnsi"/>
          <w:color w:val="000000"/>
          <w:sz w:val="22"/>
          <w:szCs w:val="22"/>
          <w:lang w:val="es-AR"/>
        </w:rPr>
        <w:t>Jungle</w:t>
      </w:r>
      <w:proofErr w:type="spellEnd"/>
      <w:r w:rsidR="00E413A2" w:rsidRPr="003F612F">
        <w:rPr>
          <w:rFonts w:asciiTheme="minorHAnsi" w:hAnsiTheme="minorHAnsi" w:cstheme="minorHAnsi"/>
          <w:color w:val="000000"/>
          <w:sz w:val="22"/>
          <w:szCs w:val="22"/>
          <w:lang w:val="es-AR"/>
        </w:rPr>
        <w:t>, con el argumento de que no pueden responder en forma autónoma ante una emergencia náutica. Se trata de un trato discriminatorio debido a que al resto de la población adulta se le da la posibilidad de elegir si quieren asumir los riesgos que conlleva la actividad y la empresa resp</w:t>
      </w:r>
      <w:r w:rsidRPr="003F612F">
        <w:rPr>
          <w:rFonts w:asciiTheme="minorHAnsi" w:hAnsiTheme="minorHAnsi" w:cstheme="minorHAnsi"/>
          <w:color w:val="000000"/>
          <w:sz w:val="22"/>
          <w:szCs w:val="22"/>
          <w:lang w:val="es-AR"/>
        </w:rPr>
        <w:t>eta la voluntad de cada turista</w:t>
      </w:r>
      <w:r w:rsidR="00E413A2" w:rsidRPr="003F612F">
        <w:rPr>
          <w:rStyle w:val="Refdenotaalpie"/>
          <w:rFonts w:asciiTheme="minorHAnsi" w:hAnsiTheme="minorHAnsi" w:cstheme="minorHAnsi"/>
          <w:color w:val="000000"/>
          <w:sz w:val="22"/>
          <w:szCs w:val="22"/>
          <w:lang w:val="es-AR"/>
        </w:rPr>
        <w:footnoteReference w:id="122"/>
      </w:r>
      <w:r w:rsidR="00E413A2" w:rsidRPr="003F612F">
        <w:rPr>
          <w:rFonts w:asciiTheme="minorHAnsi" w:hAnsiTheme="minorHAnsi" w:cstheme="minorHAnsi"/>
          <w:color w:val="000000"/>
          <w:sz w:val="22"/>
          <w:szCs w:val="22"/>
          <w:lang w:val="es-AR"/>
        </w:rPr>
        <w:t>.</w:t>
      </w:r>
      <w:r w:rsidRPr="003F612F">
        <w:rPr>
          <w:rFonts w:asciiTheme="minorHAnsi" w:hAnsiTheme="minorHAnsi" w:cstheme="minorHAnsi"/>
          <w:sz w:val="22"/>
          <w:szCs w:val="22"/>
          <w:lang w:val="es-AR"/>
        </w:rPr>
        <w:t xml:space="preserve"> </w:t>
      </w:r>
      <w:r w:rsidR="00E413A2" w:rsidRPr="003F612F">
        <w:rPr>
          <w:rFonts w:asciiTheme="minorHAnsi" w:hAnsiTheme="minorHAnsi" w:cstheme="minorHAnsi"/>
          <w:color w:val="000000"/>
          <w:sz w:val="22"/>
          <w:szCs w:val="22"/>
          <w:lang w:val="es-AR"/>
        </w:rPr>
        <w:t xml:space="preserve">También se excluye el ingreso a </w:t>
      </w:r>
      <w:r w:rsidRPr="003F612F">
        <w:rPr>
          <w:rFonts w:asciiTheme="minorHAnsi" w:hAnsiTheme="minorHAnsi" w:cstheme="minorHAnsi"/>
          <w:color w:val="000000"/>
          <w:sz w:val="22"/>
          <w:szCs w:val="22"/>
          <w:lang w:val="es-AR"/>
        </w:rPr>
        <w:t xml:space="preserve">PCD </w:t>
      </w:r>
      <w:r w:rsidR="00E413A2" w:rsidRPr="003F612F">
        <w:rPr>
          <w:rFonts w:asciiTheme="minorHAnsi" w:hAnsiTheme="minorHAnsi" w:cstheme="minorHAnsi"/>
          <w:color w:val="000000"/>
          <w:sz w:val="22"/>
          <w:szCs w:val="22"/>
          <w:lang w:val="es-AR"/>
        </w:rPr>
        <w:t xml:space="preserve">visual al Complejo Turístico Teleférico Cerro Otto (Bariloche – Rio Negro). </w:t>
      </w:r>
      <w:r w:rsidRPr="003F612F">
        <w:rPr>
          <w:rFonts w:asciiTheme="minorHAnsi" w:hAnsiTheme="minorHAnsi" w:cstheme="minorHAnsi"/>
          <w:sz w:val="22"/>
          <w:szCs w:val="22"/>
          <w:lang w:val="es-AR"/>
        </w:rPr>
        <w:t xml:space="preserve"> </w:t>
      </w:r>
      <w:r w:rsidR="00E413A2" w:rsidRPr="003F612F">
        <w:rPr>
          <w:rFonts w:asciiTheme="minorHAnsi" w:hAnsiTheme="minorHAnsi" w:cstheme="minorHAnsi"/>
          <w:color w:val="000000"/>
          <w:sz w:val="22"/>
          <w:szCs w:val="22"/>
          <w:lang w:val="es-AR"/>
        </w:rPr>
        <w:t xml:space="preserve">Las medidas señaladas perpetúan los prejuicios y estereotipos en relación con las </w:t>
      </w:r>
      <w:r w:rsidR="008A5AE0" w:rsidRPr="003F612F">
        <w:rPr>
          <w:rFonts w:asciiTheme="minorHAnsi" w:hAnsiTheme="minorHAnsi" w:cstheme="minorHAnsi"/>
          <w:color w:val="000000"/>
          <w:sz w:val="22"/>
          <w:szCs w:val="22"/>
          <w:lang w:val="es-AR"/>
        </w:rPr>
        <w:t>PCD</w:t>
      </w:r>
      <w:r w:rsidR="00E413A2" w:rsidRPr="003F612F">
        <w:rPr>
          <w:rFonts w:asciiTheme="minorHAnsi" w:hAnsiTheme="minorHAnsi" w:cstheme="minorHAnsi"/>
          <w:color w:val="000000"/>
          <w:sz w:val="22"/>
          <w:szCs w:val="22"/>
          <w:lang w:val="es-AR"/>
        </w:rPr>
        <w:t xml:space="preserve"> visual, afectando su autonomía y dignidad, dispensándoles un trato desigual y discriminatorio</w:t>
      </w:r>
      <w:r w:rsidRPr="003F612F">
        <w:rPr>
          <w:rStyle w:val="Refdenotaalpie"/>
          <w:rFonts w:asciiTheme="minorHAnsi" w:hAnsiTheme="minorHAnsi" w:cstheme="minorHAnsi"/>
          <w:color w:val="000000"/>
          <w:sz w:val="22"/>
          <w:szCs w:val="22"/>
          <w:lang w:val="es-AR"/>
        </w:rPr>
        <w:footnoteReference w:id="123"/>
      </w:r>
      <w:r w:rsidR="00E413A2" w:rsidRPr="003F612F">
        <w:rPr>
          <w:rFonts w:asciiTheme="minorHAnsi" w:hAnsiTheme="minorHAnsi" w:cstheme="minorHAnsi"/>
          <w:color w:val="000000"/>
          <w:sz w:val="22"/>
          <w:szCs w:val="22"/>
          <w:lang w:val="es-AR"/>
        </w:rPr>
        <w:t xml:space="preserve">. </w:t>
      </w:r>
    </w:p>
    <w:p w14:paraId="093CABE5" w14:textId="52779624" w:rsidR="00EC065D" w:rsidRPr="003F612F" w:rsidRDefault="00EC065D" w:rsidP="00762BF9">
      <w:pPr>
        <w:spacing w:after="240" w:line="276" w:lineRule="auto"/>
        <w:ind w:firstLine="720"/>
        <w:jc w:val="both"/>
        <w:rPr>
          <w:rFonts w:cstheme="minorHAnsi"/>
          <w:lang w:val="es-AR"/>
        </w:rPr>
      </w:pPr>
      <w:bookmarkStart w:id="34" w:name="_heading=h.30j0zll" w:colFirst="0" w:colLast="0"/>
      <w:bookmarkEnd w:id="34"/>
      <w:r w:rsidRPr="003F612F">
        <w:rPr>
          <w:rFonts w:cstheme="minorHAnsi"/>
          <w:lang w:val="es-AR"/>
        </w:rPr>
        <w:t>Resulta preocupante la segregación generada por la disociación entre plazas convencionales y plazas “inclusivas”</w:t>
      </w:r>
      <w:r w:rsidR="00492501">
        <w:rPr>
          <w:rFonts w:cstheme="minorHAnsi"/>
          <w:lang w:val="es-AR"/>
        </w:rPr>
        <w:t>, observada en Provincia de Buenos Aires y CABA</w:t>
      </w:r>
      <w:r w:rsidR="00492501">
        <w:rPr>
          <w:rStyle w:val="Refdenotaalpie"/>
          <w:rFonts w:cstheme="minorHAnsi"/>
          <w:lang w:val="es-AR"/>
        </w:rPr>
        <w:footnoteReference w:id="124"/>
      </w:r>
      <w:r w:rsidRPr="003F612F">
        <w:rPr>
          <w:rFonts w:cstheme="minorHAnsi"/>
          <w:lang w:val="es-AR"/>
        </w:rPr>
        <w:t xml:space="preserve">. El diseño diferenciado de los juegos adaptados/accesibles refuerza la segregación. La inclusión no se resuelve solo con diseños funcionalmente accesibles. Son necesarios diseños participativos y contextualizados física y culturalmente. Pero los mecanismos de gestión solo contemplan diseños estándares y homologados -generando, además, su encarecimiento. </w:t>
      </w:r>
    </w:p>
    <w:p w14:paraId="7E3B584E" w14:textId="62C7443F" w:rsidR="00C24615" w:rsidRPr="003F612F" w:rsidRDefault="009F6427" w:rsidP="00762BF9">
      <w:pPr>
        <w:pStyle w:val="NormalWeb"/>
        <w:spacing w:before="0" w:beforeAutospacing="0" w:after="240" w:afterAutospacing="0" w:line="276" w:lineRule="auto"/>
        <w:jc w:val="both"/>
        <w:rPr>
          <w:rFonts w:asciiTheme="minorHAnsi" w:hAnsiTheme="minorHAnsi" w:cstheme="minorHAnsi"/>
          <w:b/>
          <w:bCs/>
          <w:i/>
          <w:iCs/>
          <w:color w:val="000000"/>
          <w:sz w:val="22"/>
          <w:szCs w:val="22"/>
          <w:u w:val="single"/>
          <w:lang w:val="es-AR"/>
        </w:rPr>
      </w:pPr>
      <w:r>
        <w:rPr>
          <w:rFonts w:asciiTheme="minorHAnsi" w:hAnsiTheme="minorHAnsi" w:cstheme="minorHAnsi"/>
          <w:b/>
          <w:bCs/>
          <w:i/>
          <w:iCs/>
          <w:color w:val="000000"/>
          <w:sz w:val="22"/>
          <w:szCs w:val="22"/>
          <w:u w:val="single"/>
          <w:lang w:val="es-AR"/>
        </w:rPr>
        <w:t>Recomendaciones</w:t>
      </w:r>
      <w:r w:rsidRPr="003F612F">
        <w:rPr>
          <w:rFonts w:asciiTheme="minorHAnsi" w:hAnsiTheme="minorHAnsi" w:cstheme="minorHAnsi"/>
          <w:b/>
          <w:bCs/>
          <w:i/>
          <w:iCs/>
          <w:color w:val="000000"/>
          <w:sz w:val="22"/>
          <w:szCs w:val="22"/>
          <w:u w:val="single"/>
          <w:lang w:val="es-AR"/>
        </w:rPr>
        <w:t xml:space="preserve"> </w:t>
      </w:r>
      <w:r w:rsidR="00C24615" w:rsidRPr="003F612F">
        <w:rPr>
          <w:rFonts w:asciiTheme="minorHAnsi" w:hAnsiTheme="minorHAnsi" w:cstheme="minorHAnsi"/>
          <w:b/>
          <w:bCs/>
          <w:i/>
          <w:iCs/>
          <w:color w:val="000000"/>
          <w:sz w:val="22"/>
          <w:szCs w:val="22"/>
          <w:u w:val="single"/>
          <w:lang w:val="es-AR"/>
        </w:rPr>
        <w:t xml:space="preserve">sugeridas al Estado: </w:t>
      </w:r>
    </w:p>
    <w:p w14:paraId="33B65016" w14:textId="4040C6F0" w:rsidR="00F15426" w:rsidRPr="003F612F" w:rsidRDefault="0093292C" w:rsidP="00762BF9">
      <w:pPr>
        <w:pStyle w:val="NormalWeb"/>
        <w:numPr>
          <w:ilvl w:val="0"/>
          <w:numId w:val="17"/>
        </w:numPr>
        <w:spacing w:before="0" w:beforeAutospacing="0" w:after="240" w:afterAutospacing="0" w:line="276" w:lineRule="auto"/>
        <w:jc w:val="both"/>
        <w:rPr>
          <w:rFonts w:asciiTheme="minorHAnsi" w:hAnsiTheme="minorHAnsi" w:cstheme="minorHAnsi"/>
          <w:sz w:val="22"/>
          <w:szCs w:val="22"/>
          <w:lang w:val="es-AR"/>
        </w:rPr>
      </w:pPr>
      <w:r>
        <w:rPr>
          <w:rFonts w:asciiTheme="minorHAnsi" w:hAnsiTheme="minorHAnsi" w:cstheme="minorHAnsi"/>
          <w:color w:val="000000"/>
          <w:sz w:val="22"/>
          <w:szCs w:val="22"/>
          <w:lang w:val="es-AR"/>
        </w:rPr>
        <w:t xml:space="preserve">Brindar capacitaciones a </w:t>
      </w:r>
      <w:r w:rsidR="004A0FD7">
        <w:rPr>
          <w:rFonts w:asciiTheme="minorHAnsi" w:hAnsiTheme="minorHAnsi" w:cstheme="minorHAnsi"/>
          <w:color w:val="000000"/>
          <w:sz w:val="22"/>
          <w:szCs w:val="22"/>
          <w:lang w:val="es-AR"/>
        </w:rPr>
        <w:t>las empresas con</w:t>
      </w:r>
      <w:r w:rsidR="00FB1652">
        <w:rPr>
          <w:rFonts w:asciiTheme="minorHAnsi" w:hAnsiTheme="minorHAnsi" w:cstheme="minorHAnsi"/>
          <w:color w:val="000000"/>
          <w:sz w:val="22"/>
          <w:szCs w:val="22"/>
          <w:lang w:val="es-AR"/>
        </w:rPr>
        <w:t>c</w:t>
      </w:r>
      <w:r w:rsidR="004A0FD7">
        <w:rPr>
          <w:rFonts w:asciiTheme="minorHAnsi" w:hAnsiTheme="minorHAnsi" w:cstheme="minorHAnsi"/>
          <w:color w:val="000000"/>
          <w:sz w:val="22"/>
          <w:szCs w:val="22"/>
          <w:lang w:val="es-AR"/>
        </w:rPr>
        <w:t>e</w:t>
      </w:r>
      <w:r>
        <w:rPr>
          <w:rFonts w:asciiTheme="minorHAnsi" w:hAnsiTheme="minorHAnsi" w:cstheme="minorHAnsi"/>
          <w:color w:val="000000"/>
          <w:sz w:val="22"/>
          <w:szCs w:val="22"/>
          <w:lang w:val="es-AR"/>
        </w:rPr>
        <w:t>si</w:t>
      </w:r>
      <w:r w:rsidR="004A0FD7">
        <w:rPr>
          <w:rFonts w:asciiTheme="minorHAnsi" w:hAnsiTheme="minorHAnsi" w:cstheme="minorHAnsi"/>
          <w:color w:val="000000"/>
          <w:sz w:val="22"/>
          <w:szCs w:val="22"/>
          <w:lang w:val="es-AR"/>
        </w:rPr>
        <w:t xml:space="preserve">onarias de los servicios de turismo </w:t>
      </w:r>
      <w:r w:rsidR="00FB1652">
        <w:rPr>
          <w:rFonts w:asciiTheme="minorHAnsi" w:hAnsiTheme="minorHAnsi" w:cstheme="minorHAnsi"/>
          <w:color w:val="000000"/>
          <w:sz w:val="22"/>
          <w:szCs w:val="22"/>
          <w:lang w:val="es-AR"/>
        </w:rPr>
        <w:t>que impiden la plena participación de las PCD.</w:t>
      </w:r>
      <w:r w:rsidR="00BC739E">
        <w:rPr>
          <w:rFonts w:asciiTheme="minorHAnsi" w:hAnsiTheme="minorHAnsi" w:cstheme="minorHAnsi"/>
          <w:color w:val="000000"/>
          <w:sz w:val="22"/>
          <w:szCs w:val="22"/>
          <w:lang w:val="es-AR"/>
        </w:rPr>
        <w:t xml:space="preserve"> </w:t>
      </w:r>
    </w:p>
    <w:p w14:paraId="6AEE2351" w14:textId="1D94A5D2" w:rsidR="00F15426" w:rsidRPr="006F7DFA" w:rsidRDefault="00E97FB8" w:rsidP="00762BF9">
      <w:pPr>
        <w:pStyle w:val="NormalWeb"/>
        <w:numPr>
          <w:ilvl w:val="0"/>
          <w:numId w:val="17"/>
        </w:numPr>
        <w:spacing w:before="0" w:beforeAutospacing="0" w:after="240" w:afterAutospacing="0" w:line="276" w:lineRule="auto"/>
        <w:jc w:val="both"/>
        <w:rPr>
          <w:rFonts w:asciiTheme="minorHAnsi" w:hAnsiTheme="minorHAnsi" w:cstheme="minorHAnsi"/>
          <w:sz w:val="22"/>
          <w:szCs w:val="22"/>
          <w:lang w:val="es-AR"/>
        </w:rPr>
      </w:pPr>
      <w:r>
        <w:rPr>
          <w:rFonts w:asciiTheme="minorHAnsi" w:hAnsiTheme="minorHAnsi" w:cstheme="minorHAnsi"/>
          <w:color w:val="000000"/>
          <w:sz w:val="22"/>
          <w:szCs w:val="22"/>
          <w:lang w:val="es-AR"/>
        </w:rPr>
        <w:t>Asignar p</w:t>
      </w:r>
      <w:r w:rsidR="0005009B">
        <w:rPr>
          <w:rFonts w:asciiTheme="minorHAnsi" w:hAnsiTheme="minorHAnsi" w:cstheme="minorHAnsi"/>
          <w:color w:val="000000"/>
          <w:sz w:val="22"/>
          <w:szCs w:val="22"/>
          <w:lang w:val="es-AR"/>
        </w:rPr>
        <w:t xml:space="preserve">resupuesto para </w:t>
      </w:r>
      <w:r>
        <w:rPr>
          <w:rFonts w:asciiTheme="minorHAnsi" w:hAnsiTheme="minorHAnsi" w:cstheme="minorHAnsi"/>
          <w:color w:val="000000"/>
          <w:sz w:val="22"/>
          <w:szCs w:val="22"/>
          <w:lang w:val="es-AR"/>
        </w:rPr>
        <w:t>cumplir l</w:t>
      </w:r>
      <w:r w:rsidR="0005009B">
        <w:rPr>
          <w:rFonts w:asciiTheme="minorHAnsi" w:hAnsiTheme="minorHAnsi" w:cstheme="minorHAnsi"/>
          <w:color w:val="000000"/>
          <w:sz w:val="22"/>
          <w:szCs w:val="22"/>
          <w:lang w:val="es-AR"/>
        </w:rPr>
        <w:t xml:space="preserve">as adecuaciones </w:t>
      </w:r>
      <w:r w:rsidR="0093292C">
        <w:rPr>
          <w:rFonts w:asciiTheme="minorHAnsi" w:hAnsiTheme="minorHAnsi" w:cstheme="minorHAnsi"/>
          <w:color w:val="000000"/>
          <w:sz w:val="22"/>
          <w:szCs w:val="22"/>
          <w:lang w:val="es-AR"/>
        </w:rPr>
        <w:t xml:space="preserve">de </w:t>
      </w:r>
      <w:r w:rsidR="00FD7B8A">
        <w:rPr>
          <w:rFonts w:asciiTheme="minorHAnsi" w:hAnsiTheme="minorHAnsi" w:cstheme="minorHAnsi"/>
          <w:color w:val="000000"/>
          <w:sz w:val="22"/>
          <w:szCs w:val="22"/>
          <w:lang w:val="es-AR"/>
        </w:rPr>
        <w:t>accesibilidad</w:t>
      </w:r>
      <w:r>
        <w:rPr>
          <w:rFonts w:asciiTheme="minorHAnsi" w:hAnsiTheme="minorHAnsi" w:cstheme="minorHAnsi"/>
          <w:color w:val="000000"/>
          <w:sz w:val="22"/>
          <w:szCs w:val="22"/>
          <w:lang w:val="es-AR"/>
        </w:rPr>
        <w:t xml:space="preserve"> en</w:t>
      </w:r>
      <w:r w:rsidR="0005009B">
        <w:rPr>
          <w:rFonts w:asciiTheme="minorHAnsi" w:hAnsiTheme="minorHAnsi" w:cstheme="minorHAnsi"/>
          <w:color w:val="000000"/>
          <w:sz w:val="22"/>
          <w:szCs w:val="22"/>
          <w:lang w:val="es-AR"/>
        </w:rPr>
        <w:t xml:space="preserve"> </w:t>
      </w:r>
      <w:r w:rsidR="00F15426" w:rsidRPr="006F7DFA">
        <w:rPr>
          <w:rFonts w:asciiTheme="minorHAnsi" w:hAnsiTheme="minorHAnsi" w:cstheme="minorHAnsi"/>
          <w:color w:val="000000"/>
          <w:sz w:val="22"/>
          <w:szCs w:val="22"/>
          <w:lang w:val="es-AR"/>
        </w:rPr>
        <w:t xml:space="preserve">situaciones de discriminación hacia </w:t>
      </w:r>
      <w:r w:rsidR="003F612F" w:rsidRPr="006F7DFA">
        <w:rPr>
          <w:rFonts w:asciiTheme="minorHAnsi" w:hAnsiTheme="minorHAnsi" w:cstheme="minorHAnsi"/>
          <w:color w:val="000000"/>
          <w:sz w:val="22"/>
          <w:szCs w:val="22"/>
          <w:lang w:val="es-AR"/>
        </w:rPr>
        <w:t>PCD</w:t>
      </w:r>
      <w:r w:rsidR="006F7DFA" w:rsidRPr="006F7DFA">
        <w:rPr>
          <w:rFonts w:asciiTheme="minorHAnsi" w:hAnsiTheme="minorHAnsi" w:cstheme="minorHAnsi"/>
          <w:color w:val="000000"/>
          <w:sz w:val="22"/>
          <w:szCs w:val="22"/>
          <w:lang w:val="es-AR"/>
        </w:rPr>
        <w:t xml:space="preserve"> en el acceso al ocio y turismo. </w:t>
      </w:r>
    </w:p>
    <w:tbl>
      <w:tblPr>
        <w:tblStyle w:val="Tablaconcuadrcula"/>
        <w:tblW w:w="0" w:type="auto"/>
        <w:tblLook w:val="04A0" w:firstRow="1" w:lastRow="0" w:firstColumn="1" w:lastColumn="0" w:noHBand="0" w:noVBand="1"/>
      </w:tblPr>
      <w:tblGrid>
        <w:gridCol w:w="9736"/>
      </w:tblGrid>
      <w:tr w:rsidR="0022417E" w14:paraId="7FD5239B" w14:textId="77777777" w:rsidTr="0022417E">
        <w:tc>
          <w:tcPr>
            <w:tcW w:w="9736" w:type="dxa"/>
            <w:shd w:val="clear" w:color="auto" w:fill="D5DCE4" w:themeFill="text2" w:themeFillTint="33"/>
          </w:tcPr>
          <w:p w14:paraId="06798AF9" w14:textId="4E01FA7B" w:rsidR="0022417E" w:rsidRPr="0022417E" w:rsidRDefault="0022417E" w:rsidP="00762BF9">
            <w:pPr>
              <w:pStyle w:val="Ttulo2"/>
              <w:spacing w:line="276" w:lineRule="auto"/>
              <w:jc w:val="center"/>
              <w:outlineLvl w:val="1"/>
              <w:rPr>
                <w:rFonts w:asciiTheme="minorHAnsi" w:hAnsiTheme="minorHAnsi" w:cstheme="minorHAnsi"/>
                <w:b/>
                <w:bCs/>
                <w:color w:val="auto"/>
                <w:sz w:val="24"/>
                <w:szCs w:val="24"/>
                <w:lang w:val="es-AR"/>
              </w:rPr>
            </w:pPr>
            <w:bookmarkStart w:id="35" w:name="_Toc124881454"/>
            <w:r w:rsidRPr="0022417E">
              <w:rPr>
                <w:rFonts w:asciiTheme="minorHAnsi" w:hAnsiTheme="minorHAnsi" w:cstheme="minorHAnsi"/>
                <w:b/>
                <w:bCs/>
                <w:color w:val="auto"/>
                <w:sz w:val="24"/>
                <w:szCs w:val="24"/>
                <w:lang w:val="es-AR"/>
              </w:rPr>
              <w:t>Artículo 31: Recopilación de Datos y Estadísticas</w:t>
            </w:r>
            <w:bookmarkEnd w:id="35"/>
          </w:p>
        </w:tc>
      </w:tr>
    </w:tbl>
    <w:p w14:paraId="74555CC2" w14:textId="2144FA2F" w:rsidR="00FD7B8A" w:rsidRDefault="00E97FB8" w:rsidP="00762BF9">
      <w:pPr>
        <w:pStyle w:val="NormalWeb"/>
        <w:spacing w:before="240" w:beforeAutospacing="0" w:after="240" w:afterAutospacing="0" w:line="276" w:lineRule="auto"/>
        <w:ind w:firstLine="720"/>
        <w:jc w:val="both"/>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 xml:space="preserve">Destacamos </w:t>
      </w:r>
      <w:r w:rsidR="00FD7B8A">
        <w:rPr>
          <w:rFonts w:asciiTheme="minorHAnsi" w:hAnsiTheme="minorHAnsi" w:cstheme="minorHAnsi"/>
          <w:color w:val="000000"/>
          <w:sz w:val="22"/>
          <w:szCs w:val="22"/>
          <w:lang w:val="es-AR"/>
        </w:rPr>
        <w:t xml:space="preserve">que existe una </w:t>
      </w:r>
      <w:r w:rsidR="00FD7B8A" w:rsidRPr="00FD7B8A">
        <w:rPr>
          <w:rFonts w:asciiTheme="minorHAnsi" w:hAnsiTheme="minorHAnsi" w:cstheme="minorHAnsi"/>
          <w:color w:val="000000"/>
          <w:sz w:val="22"/>
          <w:szCs w:val="22"/>
          <w:lang w:val="es-AR"/>
        </w:rPr>
        <w:t xml:space="preserve">falta de datos y estadísticas desagregadas </w:t>
      </w:r>
      <w:r w:rsidR="00FD7B8A">
        <w:rPr>
          <w:rFonts w:asciiTheme="minorHAnsi" w:hAnsiTheme="minorHAnsi" w:cstheme="minorHAnsi"/>
          <w:color w:val="000000"/>
          <w:sz w:val="22"/>
          <w:szCs w:val="22"/>
          <w:lang w:val="es-AR"/>
        </w:rPr>
        <w:t xml:space="preserve">referidas a las PCD </w:t>
      </w:r>
      <w:r w:rsidR="00FD7B8A" w:rsidRPr="00FD7B8A">
        <w:rPr>
          <w:rFonts w:asciiTheme="minorHAnsi" w:hAnsiTheme="minorHAnsi" w:cstheme="minorHAnsi"/>
          <w:color w:val="000000"/>
          <w:sz w:val="22"/>
          <w:szCs w:val="22"/>
          <w:lang w:val="es-AR"/>
        </w:rPr>
        <w:t>en todos los ámbitos</w:t>
      </w:r>
      <w:r w:rsidR="00FD7B8A">
        <w:rPr>
          <w:rFonts w:asciiTheme="minorHAnsi" w:hAnsiTheme="minorHAnsi" w:cstheme="minorHAnsi"/>
          <w:color w:val="000000"/>
          <w:sz w:val="22"/>
          <w:szCs w:val="22"/>
          <w:lang w:val="es-AR"/>
        </w:rPr>
        <w:t xml:space="preserve">. </w:t>
      </w:r>
    </w:p>
    <w:p w14:paraId="6BB7F6A0" w14:textId="348EB31B" w:rsidR="00E413A2" w:rsidRPr="003F612F" w:rsidRDefault="00FF3177" w:rsidP="00762BF9">
      <w:pPr>
        <w:pStyle w:val="NormalWeb"/>
        <w:spacing w:before="240" w:beforeAutospacing="0" w:after="240" w:afterAutospacing="0" w:line="276" w:lineRule="auto"/>
        <w:ind w:firstLine="720"/>
        <w:jc w:val="both"/>
        <w:rPr>
          <w:rFonts w:asciiTheme="minorHAnsi" w:hAnsiTheme="minorHAnsi" w:cstheme="minorHAnsi"/>
          <w:color w:val="000000"/>
          <w:sz w:val="22"/>
          <w:szCs w:val="22"/>
          <w:lang w:val="es-AR"/>
        </w:rPr>
      </w:pPr>
      <w:r w:rsidRPr="003F612F">
        <w:rPr>
          <w:rFonts w:asciiTheme="minorHAnsi" w:hAnsiTheme="minorHAnsi" w:cstheme="minorHAnsi"/>
          <w:color w:val="000000"/>
          <w:sz w:val="22"/>
          <w:szCs w:val="22"/>
          <w:lang w:val="es-AR"/>
        </w:rPr>
        <w:t>En</w:t>
      </w:r>
      <w:r w:rsidR="00E413A2" w:rsidRPr="003F612F">
        <w:rPr>
          <w:rFonts w:asciiTheme="minorHAnsi" w:hAnsiTheme="minorHAnsi" w:cstheme="minorHAnsi"/>
          <w:color w:val="000000"/>
          <w:sz w:val="22"/>
          <w:szCs w:val="22"/>
          <w:lang w:val="es-AR"/>
        </w:rPr>
        <w:t xml:space="preserve"> 2022, se realizó el Censo Nacional de Población, Hogares y Vivienda, el cual result</w:t>
      </w:r>
      <w:r w:rsidR="00F15426" w:rsidRPr="003F612F">
        <w:rPr>
          <w:rFonts w:asciiTheme="minorHAnsi" w:hAnsiTheme="minorHAnsi" w:cstheme="minorHAnsi"/>
          <w:color w:val="000000"/>
          <w:sz w:val="22"/>
          <w:szCs w:val="22"/>
          <w:lang w:val="es-AR"/>
        </w:rPr>
        <w:t>ó</w:t>
      </w:r>
      <w:r w:rsidR="00E413A2" w:rsidRPr="003F612F">
        <w:rPr>
          <w:rFonts w:asciiTheme="minorHAnsi" w:hAnsiTheme="minorHAnsi" w:cstheme="minorHAnsi"/>
          <w:color w:val="000000"/>
          <w:sz w:val="22"/>
          <w:szCs w:val="22"/>
          <w:lang w:val="es-AR"/>
        </w:rPr>
        <w:t xml:space="preserve"> inaccesible para </w:t>
      </w:r>
      <w:r w:rsidRPr="003F612F">
        <w:rPr>
          <w:rFonts w:asciiTheme="minorHAnsi" w:hAnsiTheme="minorHAnsi" w:cstheme="minorHAnsi"/>
          <w:color w:val="000000"/>
          <w:sz w:val="22"/>
          <w:szCs w:val="22"/>
          <w:lang w:val="es-AR"/>
        </w:rPr>
        <w:t>PCD</w:t>
      </w:r>
      <w:r w:rsidR="00E413A2" w:rsidRPr="003F612F">
        <w:rPr>
          <w:rFonts w:asciiTheme="minorHAnsi" w:hAnsiTheme="minorHAnsi" w:cstheme="minorHAnsi"/>
          <w:color w:val="000000"/>
          <w:sz w:val="22"/>
          <w:szCs w:val="22"/>
          <w:lang w:val="es-AR"/>
        </w:rPr>
        <w:t>. El censo preveía una instancia digital</w:t>
      </w:r>
      <w:r w:rsidR="00F84F93">
        <w:rPr>
          <w:rFonts w:asciiTheme="minorHAnsi" w:hAnsiTheme="minorHAnsi" w:cstheme="minorHAnsi"/>
          <w:color w:val="000000"/>
          <w:sz w:val="22"/>
          <w:szCs w:val="22"/>
          <w:lang w:val="es-AR"/>
        </w:rPr>
        <w:t>,</w:t>
      </w:r>
      <w:r w:rsidR="00E413A2" w:rsidRPr="003F612F">
        <w:rPr>
          <w:rFonts w:asciiTheme="minorHAnsi" w:hAnsiTheme="minorHAnsi" w:cstheme="minorHAnsi"/>
          <w:color w:val="000000"/>
          <w:sz w:val="22"/>
          <w:szCs w:val="22"/>
          <w:lang w:val="es-AR"/>
        </w:rPr>
        <w:t xml:space="preserve"> pero las </w:t>
      </w:r>
      <w:r w:rsidR="003F612F" w:rsidRPr="003F612F">
        <w:rPr>
          <w:rFonts w:asciiTheme="minorHAnsi" w:hAnsiTheme="minorHAnsi" w:cstheme="minorHAnsi"/>
          <w:color w:val="000000"/>
          <w:sz w:val="22"/>
          <w:szCs w:val="22"/>
          <w:lang w:val="es-AR"/>
        </w:rPr>
        <w:t>PCD no</w:t>
      </w:r>
      <w:r w:rsidR="00E413A2" w:rsidRPr="003F612F">
        <w:rPr>
          <w:rFonts w:asciiTheme="minorHAnsi" w:hAnsiTheme="minorHAnsi" w:cstheme="minorHAnsi"/>
          <w:color w:val="000000"/>
          <w:sz w:val="22"/>
          <w:szCs w:val="22"/>
          <w:lang w:val="es-AR"/>
        </w:rPr>
        <w:t xml:space="preserve"> pudieron completarlo de manera autónoma</w:t>
      </w:r>
      <w:r w:rsidR="00F84F93">
        <w:rPr>
          <w:rFonts w:asciiTheme="minorHAnsi" w:hAnsiTheme="minorHAnsi" w:cstheme="minorHAnsi"/>
          <w:color w:val="000000"/>
          <w:sz w:val="22"/>
          <w:szCs w:val="22"/>
          <w:lang w:val="es-AR"/>
        </w:rPr>
        <w:t>.</w:t>
      </w:r>
      <w:r w:rsidR="00E413A2" w:rsidRPr="003F612F">
        <w:rPr>
          <w:rFonts w:asciiTheme="minorHAnsi" w:hAnsiTheme="minorHAnsi" w:cstheme="minorHAnsi"/>
          <w:color w:val="000000"/>
          <w:sz w:val="22"/>
          <w:szCs w:val="22"/>
          <w:lang w:val="es-AR"/>
        </w:rPr>
        <w:t xml:space="preserve"> La posibilidad de responder las preguntas en la visita al domicilio no exime al Estado de cumplir con sus obligaciones en materia de accesibilidad.</w:t>
      </w:r>
    </w:p>
    <w:p w14:paraId="5F8D8479" w14:textId="1532A832" w:rsidR="00E413A2" w:rsidRPr="003F612F" w:rsidRDefault="00FF3177" w:rsidP="00762BF9">
      <w:pPr>
        <w:pStyle w:val="NormalWeb"/>
        <w:spacing w:before="0" w:beforeAutospacing="0" w:after="240" w:afterAutospacing="0" w:line="276" w:lineRule="auto"/>
        <w:ind w:firstLine="720"/>
        <w:jc w:val="both"/>
        <w:rPr>
          <w:rFonts w:asciiTheme="minorHAnsi" w:hAnsiTheme="minorHAnsi" w:cstheme="minorHAnsi"/>
          <w:color w:val="000000"/>
          <w:sz w:val="22"/>
          <w:szCs w:val="22"/>
          <w:lang w:val="es-AR"/>
        </w:rPr>
      </w:pPr>
      <w:r w:rsidRPr="003F612F">
        <w:rPr>
          <w:rFonts w:asciiTheme="minorHAnsi" w:hAnsiTheme="minorHAnsi" w:cstheme="minorHAnsi"/>
          <w:color w:val="000000"/>
          <w:sz w:val="22"/>
          <w:szCs w:val="22"/>
          <w:lang w:val="es-AR"/>
        </w:rPr>
        <w:t xml:space="preserve">El </w:t>
      </w:r>
      <w:r w:rsidR="00E413A2" w:rsidRPr="003F612F">
        <w:rPr>
          <w:rFonts w:asciiTheme="minorHAnsi" w:hAnsiTheme="minorHAnsi" w:cstheme="minorHAnsi"/>
          <w:color w:val="000000"/>
          <w:sz w:val="22"/>
          <w:szCs w:val="22"/>
          <w:lang w:val="es-AR"/>
        </w:rPr>
        <w:t>sitio web del Censo 2022</w:t>
      </w:r>
      <w:r w:rsidRPr="003F612F">
        <w:rPr>
          <w:rFonts w:asciiTheme="minorHAnsi" w:hAnsiTheme="minorHAnsi" w:cstheme="minorHAnsi"/>
          <w:color w:val="000000"/>
          <w:sz w:val="22"/>
          <w:szCs w:val="22"/>
          <w:lang w:val="es-AR"/>
        </w:rPr>
        <w:t>, como página oficial del gobierno,</w:t>
      </w:r>
      <w:r w:rsidR="00E413A2" w:rsidRPr="003F612F">
        <w:rPr>
          <w:rFonts w:asciiTheme="minorHAnsi" w:hAnsiTheme="minorHAnsi" w:cstheme="minorHAnsi"/>
          <w:color w:val="000000"/>
          <w:sz w:val="22"/>
          <w:szCs w:val="22"/>
          <w:lang w:val="es-AR"/>
        </w:rPr>
        <w:t xml:space="preserve"> deb</w:t>
      </w:r>
      <w:r w:rsidRPr="003F612F">
        <w:rPr>
          <w:rFonts w:asciiTheme="minorHAnsi" w:hAnsiTheme="minorHAnsi" w:cstheme="minorHAnsi"/>
          <w:color w:val="000000"/>
          <w:sz w:val="22"/>
          <w:szCs w:val="22"/>
          <w:lang w:val="es-AR"/>
        </w:rPr>
        <w:t>ía</w:t>
      </w:r>
      <w:r w:rsidR="00E413A2" w:rsidRPr="003F612F">
        <w:rPr>
          <w:rFonts w:asciiTheme="minorHAnsi" w:hAnsiTheme="minorHAnsi" w:cstheme="minorHAnsi"/>
          <w:color w:val="000000"/>
          <w:sz w:val="22"/>
          <w:szCs w:val="22"/>
          <w:lang w:val="es-AR"/>
        </w:rPr>
        <w:t xml:space="preserve"> cumplir con los requisitos exigidos</w:t>
      </w:r>
      <w:r w:rsidRPr="003F612F">
        <w:rPr>
          <w:rFonts w:asciiTheme="minorHAnsi" w:hAnsiTheme="minorHAnsi" w:cstheme="minorHAnsi"/>
          <w:color w:val="000000"/>
          <w:sz w:val="22"/>
          <w:szCs w:val="22"/>
          <w:lang w:val="es-AR"/>
        </w:rPr>
        <w:t xml:space="preserve"> </w:t>
      </w:r>
      <w:r w:rsidR="00E413A2" w:rsidRPr="003F612F">
        <w:rPr>
          <w:rFonts w:asciiTheme="minorHAnsi" w:hAnsiTheme="minorHAnsi" w:cstheme="minorHAnsi"/>
          <w:color w:val="000000"/>
          <w:sz w:val="22"/>
          <w:szCs w:val="22"/>
          <w:lang w:val="es-AR"/>
        </w:rPr>
        <w:t>en línea con las “Pautas de Accesibilidad de Contenido Web 2.0”, aprobadas por la Oficina Nacional de Tecnologías de la Información (ONTI), a través de Disposición 6/2019.</w:t>
      </w:r>
    </w:p>
    <w:p w14:paraId="740FCCF3" w14:textId="70256203" w:rsidR="00BA664A" w:rsidRPr="003F612F" w:rsidRDefault="00766530" w:rsidP="00762BF9">
      <w:pPr>
        <w:pStyle w:val="NormalWeb"/>
        <w:spacing w:before="0" w:beforeAutospacing="0" w:after="240" w:afterAutospacing="0" w:line="276" w:lineRule="auto"/>
        <w:ind w:firstLine="720"/>
        <w:jc w:val="both"/>
        <w:rPr>
          <w:rFonts w:asciiTheme="minorHAnsi" w:hAnsiTheme="minorHAnsi" w:cstheme="minorHAnsi"/>
          <w:sz w:val="22"/>
          <w:szCs w:val="22"/>
          <w:lang w:val="es-AR"/>
        </w:rPr>
      </w:pPr>
      <w:r w:rsidRPr="003F612F">
        <w:rPr>
          <w:rFonts w:asciiTheme="minorHAnsi" w:hAnsiTheme="minorHAnsi" w:cstheme="minorHAnsi"/>
          <w:color w:val="000000"/>
          <w:sz w:val="22"/>
          <w:szCs w:val="22"/>
          <w:lang w:val="es-AR"/>
        </w:rPr>
        <w:lastRenderedPageBreak/>
        <w:t>Las preguntas del Censo</w:t>
      </w:r>
      <w:r w:rsidR="00E2759F">
        <w:rPr>
          <w:rFonts w:asciiTheme="minorHAnsi" w:hAnsiTheme="minorHAnsi" w:cstheme="minorHAnsi"/>
          <w:color w:val="000000"/>
          <w:sz w:val="22"/>
          <w:szCs w:val="22"/>
          <w:lang w:val="es-AR"/>
        </w:rPr>
        <w:t>, si bien siguieron la metodología del Grupo de Washington,</w:t>
      </w:r>
      <w:r w:rsidRPr="003F612F">
        <w:rPr>
          <w:rFonts w:asciiTheme="minorHAnsi" w:hAnsiTheme="minorHAnsi" w:cstheme="minorHAnsi"/>
          <w:sz w:val="22"/>
          <w:szCs w:val="22"/>
          <w:lang w:val="es-AR"/>
        </w:rPr>
        <w:t xml:space="preserve"> sólo indagaron sobre la cantidad de hogares con PCD, por lo que no se pudo obtener datos sobre la cantidad de PCD en la Argentina. Tampoco se midieron las</w:t>
      </w:r>
      <w:r w:rsidR="00BA664A" w:rsidRPr="003F612F">
        <w:rPr>
          <w:rFonts w:asciiTheme="minorHAnsi" w:hAnsiTheme="minorHAnsi" w:cstheme="minorHAnsi"/>
          <w:sz w:val="22"/>
          <w:szCs w:val="22"/>
          <w:lang w:val="es-AR"/>
        </w:rPr>
        <w:t xml:space="preserve"> </w:t>
      </w:r>
      <w:proofErr w:type="spellStart"/>
      <w:r w:rsidR="00BA664A" w:rsidRPr="003F612F">
        <w:rPr>
          <w:rFonts w:asciiTheme="minorHAnsi" w:hAnsiTheme="minorHAnsi" w:cstheme="minorHAnsi"/>
          <w:sz w:val="22"/>
          <w:szCs w:val="22"/>
          <w:lang w:val="es-AR"/>
        </w:rPr>
        <w:t>interseccionalidades</w:t>
      </w:r>
      <w:proofErr w:type="spellEnd"/>
      <w:r w:rsidR="00BA664A" w:rsidRPr="003F612F">
        <w:rPr>
          <w:rFonts w:asciiTheme="minorHAnsi" w:hAnsiTheme="minorHAnsi" w:cstheme="minorHAnsi"/>
          <w:sz w:val="22"/>
          <w:szCs w:val="22"/>
          <w:lang w:val="es-AR"/>
        </w:rPr>
        <w:t xml:space="preserve"> con personas migrantes, </w:t>
      </w:r>
      <w:proofErr w:type="spellStart"/>
      <w:r w:rsidR="00BA664A" w:rsidRPr="003F612F">
        <w:rPr>
          <w:rFonts w:asciiTheme="minorHAnsi" w:hAnsiTheme="minorHAnsi" w:cstheme="minorHAnsi"/>
          <w:sz w:val="22"/>
          <w:szCs w:val="22"/>
          <w:lang w:val="es-AR"/>
        </w:rPr>
        <w:t>afrodescendientes</w:t>
      </w:r>
      <w:proofErr w:type="spellEnd"/>
      <w:r w:rsidR="00BA664A" w:rsidRPr="003F612F">
        <w:rPr>
          <w:rFonts w:asciiTheme="minorHAnsi" w:hAnsiTheme="minorHAnsi" w:cstheme="minorHAnsi"/>
          <w:sz w:val="22"/>
          <w:szCs w:val="22"/>
          <w:lang w:val="es-AR"/>
        </w:rPr>
        <w:t xml:space="preserve">, pueblos </w:t>
      </w:r>
      <w:r w:rsidR="00E97FB8">
        <w:rPr>
          <w:rFonts w:asciiTheme="minorHAnsi" w:hAnsiTheme="minorHAnsi" w:cstheme="minorHAnsi"/>
          <w:sz w:val="22"/>
          <w:szCs w:val="22"/>
          <w:lang w:val="es-AR"/>
        </w:rPr>
        <w:t>indígenas</w:t>
      </w:r>
      <w:r w:rsidR="00BA664A" w:rsidRPr="003F612F">
        <w:rPr>
          <w:rFonts w:asciiTheme="minorHAnsi" w:hAnsiTheme="minorHAnsi" w:cstheme="minorHAnsi"/>
          <w:sz w:val="22"/>
          <w:szCs w:val="22"/>
          <w:lang w:val="es-AR"/>
        </w:rPr>
        <w:t xml:space="preserve"> y personas </w:t>
      </w:r>
      <w:proofErr w:type="spellStart"/>
      <w:r w:rsidR="00E97FB8">
        <w:rPr>
          <w:rFonts w:asciiTheme="minorHAnsi" w:hAnsiTheme="minorHAnsi" w:cstheme="minorHAnsi"/>
          <w:sz w:val="22"/>
          <w:szCs w:val="22"/>
          <w:lang w:val="es-AR"/>
        </w:rPr>
        <w:t>trans</w:t>
      </w:r>
      <w:proofErr w:type="spellEnd"/>
      <w:r w:rsidR="00E97FB8">
        <w:rPr>
          <w:rFonts w:asciiTheme="minorHAnsi" w:hAnsiTheme="minorHAnsi" w:cstheme="minorHAnsi"/>
          <w:sz w:val="22"/>
          <w:szCs w:val="22"/>
          <w:lang w:val="es-AR"/>
        </w:rPr>
        <w:t xml:space="preserve"> y no binarias</w:t>
      </w:r>
      <w:r w:rsidR="00BA664A" w:rsidRPr="003F612F">
        <w:rPr>
          <w:rFonts w:asciiTheme="minorHAnsi" w:hAnsiTheme="minorHAnsi" w:cstheme="minorHAnsi"/>
          <w:sz w:val="22"/>
          <w:szCs w:val="22"/>
          <w:lang w:val="es-AR"/>
        </w:rPr>
        <w:t>.</w:t>
      </w:r>
      <w:r w:rsidR="0041100E" w:rsidRPr="003F612F">
        <w:rPr>
          <w:rFonts w:asciiTheme="minorHAnsi" w:hAnsiTheme="minorHAnsi" w:cstheme="minorHAnsi"/>
          <w:sz w:val="22"/>
          <w:szCs w:val="22"/>
          <w:lang w:val="es-AR"/>
        </w:rPr>
        <w:t xml:space="preserve"> Tampoco se podrá identificar formación, empleo ni condiciones de vivienda.</w:t>
      </w:r>
      <w:r w:rsidR="00E2759F">
        <w:rPr>
          <w:rFonts w:asciiTheme="minorHAnsi" w:hAnsiTheme="minorHAnsi" w:cstheme="minorHAnsi"/>
          <w:sz w:val="22"/>
          <w:szCs w:val="22"/>
          <w:lang w:val="es-AR"/>
        </w:rPr>
        <w:t xml:space="preserve"> A enero de 2023 no se anunció cuando se realizará una encuesta que complemente al Censo.</w:t>
      </w:r>
    </w:p>
    <w:p w14:paraId="202D001C" w14:textId="6FC47FE9" w:rsidR="00E413A2" w:rsidRPr="003F612F" w:rsidRDefault="00361ABE" w:rsidP="00762BF9">
      <w:pPr>
        <w:spacing w:after="240" w:line="276" w:lineRule="auto"/>
        <w:jc w:val="both"/>
        <w:rPr>
          <w:rFonts w:eastAsia="Times New Roman" w:cstheme="minorHAnsi"/>
          <w:b/>
          <w:i/>
          <w:iCs/>
          <w:lang w:val="es-AR"/>
        </w:rPr>
      </w:pPr>
      <w:r>
        <w:rPr>
          <w:rFonts w:eastAsia="Times New Roman" w:cstheme="minorHAnsi"/>
          <w:b/>
          <w:i/>
          <w:iCs/>
          <w:u w:val="single"/>
          <w:lang w:val="es-AR"/>
        </w:rPr>
        <w:t>Recomendaciones</w:t>
      </w:r>
      <w:r w:rsidRPr="003F612F">
        <w:rPr>
          <w:rFonts w:eastAsia="Times New Roman" w:cstheme="minorHAnsi"/>
          <w:b/>
          <w:i/>
          <w:iCs/>
          <w:u w:val="single"/>
          <w:lang w:val="es-AR"/>
        </w:rPr>
        <w:t xml:space="preserve"> </w:t>
      </w:r>
      <w:r w:rsidR="00E413A2" w:rsidRPr="003F612F">
        <w:rPr>
          <w:rFonts w:eastAsia="Times New Roman" w:cstheme="minorHAnsi"/>
          <w:b/>
          <w:i/>
          <w:iCs/>
          <w:u w:val="single"/>
          <w:lang w:val="es-AR"/>
        </w:rPr>
        <w:t>sugeridas al Estado</w:t>
      </w:r>
      <w:r w:rsidR="00E413A2" w:rsidRPr="003F612F">
        <w:rPr>
          <w:rFonts w:eastAsia="Times New Roman" w:cstheme="minorHAnsi"/>
          <w:b/>
          <w:i/>
          <w:iCs/>
          <w:lang w:val="es-AR"/>
        </w:rPr>
        <w:t>:</w:t>
      </w:r>
    </w:p>
    <w:p w14:paraId="55386A2A" w14:textId="606BF6FE" w:rsidR="0041100E" w:rsidRPr="003F612F" w:rsidRDefault="00897FAD" w:rsidP="00762BF9">
      <w:pPr>
        <w:pStyle w:val="Prrafodelista"/>
        <w:numPr>
          <w:ilvl w:val="0"/>
          <w:numId w:val="18"/>
        </w:numPr>
        <w:spacing w:after="240" w:line="276" w:lineRule="auto"/>
        <w:ind w:left="714" w:hanging="357"/>
        <w:contextualSpacing w:val="0"/>
        <w:jc w:val="both"/>
        <w:rPr>
          <w:rFonts w:eastAsia="Times New Roman" w:cstheme="minorHAnsi"/>
          <w:bCs/>
          <w:lang w:val="es-AR"/>
        </w:rPr>
      </w:pPr>
      <w:r>
        <w:rPr>
          <w:rFonts w:eastAsia="Times New Roman" w:cstheme="minorHAnsi"/>
          <w:bCs/>
          <w:lang w:val="es-AR"/>
        </w:rPr>
        <w:t>Imple</w:t>
      </w:r>
      <w:r w:rsidR="00136F68">
        <w:rPr>
          <w:rFonts w:eastAsia="Times New Roman" w:cstheme="minorHAnsi"/>
          <w:bCs/>
          <w:lang w:val="es-AR"/>
        </w:rPr>
        <w:t>men</w:t>
      </w:r>
      <w:r>
        <w:rPr>
          <w:rFonts w:eastAsia="Times New Roman" w:cstheme="minorHAnsi"/>
          <w:bCs/>
          <w:lang w:val="es-AR"/>
        </w:rPr>
        <w:t xml:space="preserve">tar medidas de accesibilidad para garantizar que las PCD puedan de manera autónoma </w:t>
      </w:r>
      <w:r w:rsidR="00136F68">
        <w:rPr>
          <w:rFonts w:eastAsia="Times New Roman" w:cstheme="minorHAnsi"/>
          <w:bCs/>
          <w:lang w:val="es-AR"/>
        </w:rPr>
        <w:t>participar</w:t>
      </w:r>
      <w:r w:rsidR="002B7F0C">
        <w:rPr>
          <w:rFonts w:eastAsia="Times New Roman" w:cstheme="minorHAnsi"/>
          <w:bCs/>
          <w:lang w:val="es-AR"/>
        </w:rPr>
        <w:t xml:space="preserve"> de </w:t>
      </w:r>
      <w:r w:rsidR="004D1E15">
        <w:rPr>
          <w:rFonts w:eastAsia="Times New Roman" w:cstheme="minorHAnsi"/>
          <w:bCs/>
          <w:lang w:val="es-AR"/>
        </w:rPr>
        <w:t xml:space="preserve">los estudios estadísticos </w:t>
      </w:r>
      <w:r w:rsidR="002B7F0C">
        <w:rPr>
          <w:rFonts w:eastAsia="Times New Roman" w:cstheme="minorHAnsi"/>
          <w:bCs/>
          <w:lang w:val="es-AR"/>
        </w:rPr>
        <w:t xml:space="preserve">en </w:t>
      </w:r>
      <w:r w:rsidR="004D1E15">
        <w:rPr>
          <w:rFonts w:eastAsia="Times New Roman" w:cstheme="minorHAnsi"/>
          <w:bCs/>
          <w:lang w:val="es-AR"/>
        </w:rPr>
        <w:t>las</w:t>
      </w:r>
      <w:r w:rsidR="002B7F0C">
        <w:rPr>
          <w:rFonts w:eastAsia="Times New Roman" w:cstheme="minorHAnsi"/>
          <w:bCs/>
          <w:lang w:val="es-AR"/>
        </w:rPr>
        <w:t xml:space="preserve"> modalidades </w:t>
      </w:r>
      <w:r w:rsidR="004D1E15">
        <w:rPr>
          <w:rFonts w:eastAsia="Times New Roman" w:cstheme="minorHAnsi"/>
          <w:bCs/>
          <w:lang w:val="es-AR"/>
        </w:rPr>
        <w:t>p</w:t>
      </w:r>
      <w:r w:rsidR="002B7F0C">
        <w:rPr>
          <w:rFonts w:eastAsia="Times New Roman" w:cstheme="minorHAnsi"/>
          <w:bCs/>
          <w:lang w:val="es-AR"/>
        </w:rPr>
        <w:t>resencial</w:t>
      </w:r>
      <w:r w:rsidR="004D1E15">
        <w:rPr>
          <w:rFonts w:eastAsia="Times New Roman" w:cstheme="minorHAnsi"/>
          <w:bCs/>
          <w:lang w:val="es-AR"/>
        </w:rPr>
        <w:t>,</w:t>
      </w:r>
      <w:r w:rsidR="002B7F0C">
        <w:rPr>
          <w:rFonts w:eastAsia="Times New Roman" w:cstheme="minorHAnsi"/>
          <w:bCs/>
          <w:lang w:val="es-AR"/>
        </w:rPr>
        <w:t xml:space="preserve"> digital</w:t>
      </w:r>
      <w:r w:rsidR="004D1E15">
        <w:rPr>
          <w:rFonts w:eastAsia="Times New Roman" w:cstheme="minorHAnsi"/>
          <w:bCs/>
          <w:lang w:val="es-AR"/>
        </w:rPr>
        <w:t xml:space="preserve"> u otras.</w:t>
      </w:r>
      <w:r w:rsidR="00136F68">
        <w:rPr>
          <w:rFonts w:eastAsia="Times New Roman" w:cstheme="minorHAnsi"/>
          <w:bCs/>
          <w:lang w:val="es-AR"/>
        </w:rPr>
        <w:t xml:space="preserve"> </w:t>
      </w:r>
    </w:p>
    <w:p w14:paraId="1307612D" w14:textId="4943E948" w:rsidR="0041100E" w:rsidRPr="003F612F" w:rsidRDefault="00C25A8D" w:rsidP="00762BF9">
      <w:pPr>
        <w:pStyle w:val="Prrafodelista"/>
        <w:numPr>
          <w:ilvl w:val="0"/>
          <w:numId w:val="18"/>
        </w:numPr>
        <w:spacing w:after="240" w:line="276" w:lineRule="auto"/>
        <w:ind w:left="714" w:hanging="357"/>
        <w:contextualSpacing w:val="0"/>
        <w:jc w:val="both"/>
        <w:rPr>
          <w:rFonts w:eastAsia="Times New Roman" w:cstheme="minorHAnsi"/>
          <w:bCs/>
          <w:lang w:val="es-AR"/>
        </w:rPr>
      </w:pPr>
      <w:r>
        <w:rPr>
          <w:rFonts w:eastAsia="Times New Roman" w:cstheme="minorHAnsi"/>
          <w:bCs/>
          <w:lang w:val="es-AR"/>
        </w:rPr>
        <w:t>Realizar</w:t>
      </w:r>
      <w:r w:rsidR="00E97FB8">
        <w:rPr>
          <w:rFonts w:eastAsia="Times New Roman" w:cstheme="minorHAnsi"/>
          <w:bCs/>
          <w:lang w:val="es-AR"/>
        </w:rPr>
        <w:t xml:space="preserve"> </w:t>
      </w:r>
      <w:r>
        <w:rPr>
          <w:rFonts w:eastAsia="Times New Roman" w:cstheme="minorHAnsi"/>
          <w:bCs/>
          <w:lang w:val="es-AR"/>
        </w:rPr>
        <w:t>con la consulta de la Sociedad Civil un estudio estadístico complementario para subsanar la falta de información provista por el Censo</w:t>
      </w:r>
      <w:r w:rsidR="003041CB">
        <w:rPr>
          <w:rFonts w:eastAsia="Times New Roman" w:cstheme="minorHAnsi"/>
          <w:bCs/>
          <w:lang w:val="es-AR"/>
        </w:rPr>
        <w:t xml:space="preserve"> 2022.</w:t>
      </w:r>
    </w:p>
    <w:p w14:paraId="56A6F974" w14:textId="00838C75" w:rsidR="0041100E" w:rsidRDefault="00FD7B8A" w:rsidP="00762BF9">
      <w:pPr>
        <w:pStyle w:val="Prrafodelista"/>
        <w:numPr>
          <w:ilvl w:val="0"/>
          <w:numId w:val="18"/>
        </w:numPr>
        <w:spacing w:after="240" w:line="276" w:lineRule="auto"/>
        <w:ind w:left="714" w:hanging="357"/>
        <w:contextualSpacing w:val="0"/>
        <w:jc w:val="both"/>
        <w:rPr>
          <w:rFonts w:eastAsia="Times New Roman" w:cstheme="minorHAnsi"/>
          <w:bCs/>
          <w:lang w:val="es-AR"/>
        </w:rPr>
      </w:pPr>
      <w:r w:rsidRPr="00FD7B8A">
        <w:rPr>
          <w:rFonts w:eastAsia="Times New Roman" w:cstheme="minorHAnsi"/>
          <w:bCs/>
          <w:lang w:val="es-AR"/>
        </w:rPr>
        <w:t xml:space="preserve">Elaborar un plan adecuado con participación de </w:t>
      </w:r>
      <w:r w:rsidR="00E97FB8">
        <w:rPr>
          <w:rFonts w:eastAsia="Times New Roman" w:cstheme="minorHAnsi"/>
          <w:bCs/>
          <w:lang w:val="es-AR"/>
        </w:rPr>
        <w:t>PCD</w:t>
      </w:r>
      <w:r w:rsidRPr="00FD7B8A">
        <w:rPr>
          <w:rFonts w:eastAsia="Times New Roman" w:cstheme="minorHAnsi"/>
          <w:bCs/>
          <w:lang w:val="es-AR"/>
        </w:rPr>
        <w:t xml:space="preserve"> debidamente formadas para incorporar la perspectiva </w:t>
      </w:r>
      <w:proofErr w:type="spellStart"/>
      <w:r w:rsidRPr="00FD7B8A">
        <w:rPr>
          <w:rFonts w:eastAsia="Times New Roman" w:cstheme="minorHAnsi"/>
          <w:bCs/>
          <w:lang w:val="es-AR"/>
        </w:rPr>
        <w:t>interseccional</w:t>
      </w:r>
      <w:proofErr w:type="spellEnd"/>
      <w:r w:rsidRPr="00FD7B8A">
        <w:rPr>
          <w:rFonts w:eastAsia="Times New Roman" w:cstheme="minorHAnsi"/>
          <w:bCs/>
          <w:lang w:val="es-AR"/>
        </w:rPr>
        <w:t xml:space="preserve"> en estadísticas que contemplen el acceso a derechos sexuales y reproductivos y situaciones de violencia en sus diversas formas de manifestarse, así como para que las estadísticas todas contemplen situaciones de </w:t>
      </w:r>
      <w:proofErr w:type="spellStart"/>
      <w:r w:rsidRPr="00FD7B8A">
        <w:rPr>
          <w:rFonts w:eastAsia="Times New Roman" w:cstheme="minorHAnsi"/>
          <w:bCs/>
          <w:lang w:val="es-AR"/>
        </w:rPr>
        <w:t>interseccionalidad</w:t>
      </w:r>
      <w:proofErr w:type="spellEnd"/>
      <w:r w:rsidRPr="00FD7B8A">
        <w:rPr>
          <w:rFonts w:eastAsia="Times New Roman" w:cstheme="minorHAnsi"/>
          <w:bCs/>
          <w:lang w:val="es-AR"/>
        </w:rPr>
        <w:t>.</w:t>
      </w:r>
    </w:p>
    <w:tbl>
      <w:tblPr>
        <w:tblStyle w:val="Tablaconcuadrcula"/>
        <w:tblW w:w="0" w:type="auto"/>
        <w:tblLook w:val="04A0" w:firstRow="1" w:lastRow="0" w:firstColumn="1" w:lastColumn="0" w:noHBand="0" w:noVBand="1"/>
      </w:tblPr>
      <w:tblGrid>
        <w:gridCol w:w="9736"/>
      </w:tblGrid>
      <w:tr w:rsidR="00F84F93" w14:paraId="04FD9042" w14:textId="77777777" w:rsidTr="00F84F93">
        <w:tc>
          <w:tcPr>
            <w:tcW w:w="9736" w:type="dxa"/>
            <w:shd w:val="clear" w:color="auto" w:fill="D5DCE4" w:themeFill="text2" w:themeFillTint="33"/>
          </w:tcPr>
          <w:p w14:paraId="47117D37" w14:textId="793C068A" w:rsidR="00F84F93" w:rsidRPr="00F84F93" w:rsidRDefault="00F84F93" w:rsidP="00762BF9">
            <w:pPr>
              <w:pStyle w:val="Ttulo2"/>
              <w:spacing w:line="276" w:lineRule="auto"/>
              <w:jc w:val="center"/>
              <w:outlineLvl w:val="1"/>
              <w:rPr>
                <w:rFonts w:asciiTheme="minorHAnsi" w:eastAsia="Times New Roman" w:hAnsiTheme="minorHAnsi" w:cstheme="minorHAnsi"/>
                <w:b/>
                <w:bCs/>
                <w:color w:val="auto"/>
                <w:sz w:val="24"/>
                <w:szCs w:val="24"/>
                <w:lang w:val="es-AR"/>
              </w:rPr>
            </w:pPr>
            <w:bookmarkStart w:id="36" w:name="_Toc124881455"/>
            <w:r w:rsidRPr="00F84F93">
              <w:rPr>
                <w:rFonts w:asciiTheme="minorHAnsi" w:eastAsia="Times New Roman" w:hAnsiTheme="minorHAnsi" w:cstheme="minorHAnsi"/>
                <w:b/>
                <w:bCs/>
                <w:color w:val="auto"/>
                <w:sz w:val="24"/>
                <w:szCs w:val="24"/>
                <w:lang w:val="es-AR"/>
              </w:rPr>
              <w:t>Artículo 33: Aplicación y Seguimiento Nacionales</w:t>
            </w:r>
            <w:bookmarkEnd w:id="36"/>
          </w:p>
        </w:tc>
      </w:tr>
    </w:tbl>
    <w:p w14:paraId="7BF74754" w14:textId="2501AFAE" w:rsidR="00E413A2" w:rsidRPr="003F612F" w:rsidRDefault="00E413A2" w:rsidP="00762BF9">
      <w:pPr>
        <w:spacing w:before="240" w:after="240" w:line="276" w:lineRule="auto"/>
        <w:ind w:firstLine="720"/>
        <w:jc w:val="both"/>
        <w:rPr>
          <w:rFonts w:cstheme="minorHAnsi"/>
          <w:color w:val="000000"/>
          <w:lang w:val="es-AR"/>
        </w:rPr>
      </w:pPr>
      <w:r w:rsidRPr="003F612F">
        <w:rPr>
          <w:rFonts w:eastAsia="Times New Roman" w:cstheme="minorHAnsi"/>
          <w:lang w:val="es-AR"/>
        </w:rPr>
        <w:t>En Argentina, el Observatorio de la Discapacidad</w:t>
      </w:r>
      <w:r w:rsidRPr="003F612F">
        <w:rPr>
          <w:rFonts w:cstheme="minorHAnsi"/>
          <w:color w:val="000000"/>
          <w:lang w:val="es-AR"/>
        </w:rPr>
        <w:t xml:space="preserve"> </w:t>
      </w:r>
      <w:r w:rsidRPr="003F612F">
        <w:rPr>
          <w:rFonts w:eastAsia="Times New Roman" w:cstheme="minorHAnsi"/>
          <w:lang w:val="es-AR"/>
        </w:rPr>
        <w:t xml:space="preserve">es el encargado de hacer el seguimiento de la aplicación y cumplimiento de la Convención y su Protocolo Facultativo. </w:t>
      </w:r>
      <w:r w:rsidRPr="003F612F">
        <w:rPr>
          <w:rFonts w:cstheme="minorHAnsi"/>
          <w:lang w:val="es-AR"/>
        </w:rPr>
        <w:t xml:space="preserve">Como se ha informado en </w:t>
      </w:r>
      <w:r w:rsidR="0041100E" w:rsidRPr="003F612F">
        <w:rPr>
          <w:rFonts w:cstheme="minorHAnsi"/>
          <w:lang w:val="es-AR"/>
        </w:rPr>
        <w:t xml:space="preserve">reportes </w:t>
      </w:r>
      <w:r w:rsidRPr="003F612F">
        <w:rPr>
          <w:rFonts w:cstheme="minorHAnsi"/>
          <w:lang w:val="es-AR"/>
        </w:rPr>
        <w:t>alternativos previos (2012 y 2017), el Observatorio se encuentra en la órbita de la Agencia Nacional de Discapacidad (Ex CONADIS), es decir del Poder Ejecutivo Nacional,</w:t>
      </w:r>
      <w:r w:rsidRPr="003F612F">
        <w:rPr>
          <w:rFonts w:cstheme="minorHAnsi"/>
          <w:color w:val="000000"/>
          <w:lang w:val="es-AR"/>
        </w:rPr>
        <w:t xml:space="preserve"> tal como surge de la página web oficial</w:t>
      </w:r>
      <w:r w:rsidRPr="003F612F">
        <w:rPr>
          <w:rStyle w:val="Refdenotaalpie"/>
          <w:rFonts w:cstheme="minorHAnsi"/>
          <w:color w:val="000000"/>
          <w:lang w:val="es-AR"/>
        </w:rPr>
        <w:footnoteReference w:id="125"/>
      </w:r>
      <w:r w:rsidRPr="003F612F">
        <w:rPr>
          <w:rFonts w:cstheme="minorHAnsi"/>
          <w:color w:val="000000"/>
          <w:lang w:val="es-AR"/>
        </w:rPr>
        <w:t xml:space="preserve">. </w:t>
      </w:r>
      <w:r w:rsidRPr="003F612F">
        <w:rPr>
          <w:rFonts w:cstheme="minorHAnsi"/>
          <w:lang w:val="es-AR"/>
        </w:rPr>
        <w:t>La falta de una institucionalidad adecuada e independiente ha sido abordada en las observaciones del presente Comité</w:t>
      </w:r>
      <w:r w:rsidRPr="003F612F">
        <w:rPr>
          <w:rStyle w:val="Refdenotaalpie"/>
          <w:rFonts w:cstheme="minorHAnsi"/>
          <w:color w:val="000000"/>
          <w:lang w:val="es-AR"/>
        </w:rPr>
        <w:footnoteReference w:id="126"/>
      </w:r>
      <w:r w:rsidRPr="003F612F">
        <w:rPr>
          <w:rFonts w:cstheme="minorHAnsi"/>
          <w:color w:val="000000"/>
          <w:lang w:val="es-AR"/>
        </w:rPr>
        <w:t>. Sin embargo, a la fecha el Observatorio</w:t>
      </w:r>
      <w:r w:rsidR="00711A77" w:rsidRPr="003F612F">
        <w:rPr>
          <w:rFonts w:cstheme="minorHAnsi"/>
          <w:color w:val="000000"/>
          <w:lang w:val="es-AR"/>
        </w:rPr>
        <w:t xml:space="preserve"> </w:t>
      </w:r>
      <w:r w:rsidRPr="003F612F">
        <w:rPr>
          <w:rFonts w:cstheme="minorHAnsi"/>
          <w:color w:val="000000"/>
          <w:lang w:val="es-AR"/>
        </w:rPr>
        <w:t xml:space="preserve">sigue dependiendo de la Agencia Nacional de Discapacidad.  </w:t>
      </w:r>
    </w:p>
    <w:p w14:paraId="587856A1" w14:textId="4FEE3C05" w:rsidR="00E413A2" w:rsidRPr="003F612F" w:rsidRDefault="00E413A2" w:rsidP="00762BF9">
      <w:pPr>
        <w:spacing w:before="240" w:after="240" w:line="276" w:lineRule="auto"/>
        <w:ind w:firstLine="720"/>
        <w:jc w:val="both"/>
        <w:rPr>
          <w:rFonts w:cstheme="minorHAnsi"/>
          <w:lang w:val="es-AR"/>
        </w:rPr>
      </w:pPr>
      <w:r w:rsidRPr="003F612F">
        <w:rPr>
          <w:rFonts w:cstheme="minorHAnsi"/>
          <w:color w:val="000000"/>
          <w:lang w:val="es-AR"/>
        </w:rPr>
        <w:t>En 2020</w:t>
      </w:r>
      <w:r w:rsidR="00711A77" w:rsidRPr="003F612F">
        <w:rPr>
          <w:rFonts w:cstheme="minorHAnsi"/>
          <w:color w:val="000000"/>
          <w:lang w:val="es-AR"/>
        </w:rPr>
        <w:t>,</w:t>
      </w:r>
      <w:r w:rsidRPr="003F612F">
        <w:rPr>
          <w:rFonts w:cstheme="minorHAnsi"/>
          <w:color w:val="000000"/>
          <w:lang w:val="es-AR"/>
        </w:rPr>
        <w:t xml:space="preserve"> desde la ANDIS, se convocó a las organizaciones de y para </w:t>
      </w:r>
      <w:r w:rsidR="008A5AE0" w:rsidRPr="003F612F">
        <w:rPr>
          <w:rFonts w:cstheme="minorHAnsi"/>
          <w:color w:val="000000"/>
          <w:lang w:val="es-AR"/>
        </w:rPr>
        <w:t>PCD</w:t>
      </w:r>
      <w:r w:rsidRPr="003F612F">
        <w:rPr>
          <w:rFonts w:cstheme="minorHAnsi"/>
          <w:color w:val="000000"/>
          <w:lang w:val="es-AR"/>
        </w:rPr>
        <w:t xml:space="preserve"> a enviar propuestas sobre el Observatorio. </w:t>
      </w:r>
      <w:r w:rsidR="00E2759F">
        <w:rPr>
          <w:rFonts w:cstheme="minorHAnsi"/>
          <w:color w:val="000000"/>
          <w:lang w:val="es-AR"/>
        </w:rPr>
        <w:t xml:space="preserve">Se enviaron </w:t>
      </w:r>
      <w:proofErr w:type="gramStart"/>
      <w:r w:rsidR="00E2759F">
        <w:rPr>
          <w:rFonts w:cstheme="minorHAnsi"/>
          <w:color w:val="000000"/>
          <w:lang w:val="es-AR"/>
        </w:rPr>
        <w:t xml:space="preserve">propuestas </w:t>
      </w:r>
      <w:proofErr w:type="gramEnd"/>
      <w:r w:rsidRPr="003F612F">
        <w:rPr>
          <w:rStyle w:val="Refdenotaalpie"/>
          <w:rFonts w:cstheme="minorHAnsi"/>
          <w:color w:val="000000"/>
          <w:lang w:val="es-AR"/>
        </w:rPr>
        <w:footnoteReference w:id="127"/>
      </w:r>
      <w:r w:rsidR="00E2759F">
        <w:rPr>
          <w:rFonts w:cstheme="minorHAnsi"/>
          <w:color w:val="000000"/>
          <w:lang w:val="es-AR"/>
        </w:rPr>
        <w:t xml:space="preserve">, pero a enero de 2023 no se hizo pública que la ANDIS haya elaborado un proyecto sobre Observatorio. </w:t>
      </w:r>
    </w:p>
    <w:p w14:paraId="6C13C665" w14:textId="23A7C420" w:rsidR="00E413A2" w:rsidRPr="003F612F" w:rsidRDefault="00DD14B0" w:rsidP="00762BF9">
      <w:pPr>
        <w:spacing w:after="240" w:line="276" w:lineRule="auto"/>
        <w:jc w:val="both"/>
        <w:rPr>
          <w:rFonts w:eastAsia="Times New Roman" w:cstheme="minorHAnsi"/>
          <w:b/>
          <w:i/>
          <w:u w:val="single"/>
          <w:lang w:val="es-AR"/>
        </w:rPr>
      </w:pPr>
      <w:r>
        <w:rPr>
          <w:rFonts w:eastAsia="Times New Roman" w:cstheme="minorHAnsi"/>
          <w:b/>
          <w:i/>
          <w:u w:val="single"/>
          <w:lang w:val="es-AR"/>
        </w:rPr>
        <w:t>Recomendaciones</w:t>
      </w:r>
      <w:r w:rsidRPr="003F612F">
        <w:rPr>
          <w:rFonts w:eastAsia="Times New Roman" w:cstheme="minorHAnsi"/>
          <w:b/>
          <w:i/>
          <w:u w:val="single"/>
          <w:lang w:val="es-AR"/>
        </w:rPr>
        <w:t xml:space="preserve"> </w:t>
      </w:r>
      <w:r w:rsidR="00E413A2" w:rsidRPr="003F612F">
        <w:rPr>
          <w:rFonts w:eastAsia="Times New Roman" w:cstheme="minorHAnsi"/>
          <w:b/>
          <w:i/>
          <w:u w:val="single"/>
          <w:lang w:val="es-AR"/>
        </w:rPr>
        <w:t>propuestas al Estado:</w:t>
      </w:r>
    </w:p>
    <w:p w14:paraId="507F5ABA" w14:textId="3D84DA15" w:rsidR="0041100E" w:rsidRPr="0051374B" w:rsidRDefault="00546A37" w:rsidP="00762BF9">
      <w:pPr>
        <w:pStyle w:val="Prrafodelista"/>
        <w:numPr>
          <w:ilvl w:val="0"/>
          <w:numId w:val="19"/>
        </w:numPr>
        <w:spacing w:after="240" w:line="276" w:lineRule="auto"/>
        <w:ind w:left="714" w:hanging="357"/>
        <w:contextualSpacing w:val="0"/>
        <w:jc w:val="both"/>
        <w:rPr>
          <w:rFonts w:eastAsia="Times New Roman" w:cstheme="minorHAnsi"/>
          <w:bCs/>
          <w:iCs/>
          <w:lang w:val="es-AR"/>
        </w:rPr>
      </w:pPr>
      <w:r>
        <w:rPr>
          <w:rFonts w:eastAsia="Times New Roman" w:cstheme="minorHAnsi"/>
          <w:bCs/>
          <w:iCs/>
          <w:lang w:val="es-AR"/>
        </w:rPr>
        <w:t>Proponer la</w:t>
      </w:r>
      <w:r w:rsidR="00E5315F">
        <w:rPr>
          <w:rFonts w:eastAsia="Times New Roman" w:cstheme="minorHAnsi"/>
          <w:bCs/>
          <w:iCs/>
          <w:lang w:val="es-AR"/>
        </w:rPr>
        <w:t xml:space="preserve"> </w:t>
      </w:r>
      <w:r>
        <w:rPr>
          <w:rFonts w:eastAsia="Times New Roman" w:cstheme="minorHAnsi"/>
          <w:bCs/>
          <w:iCs/>
          <w:lang w:val="es-AR"/>
        </w:rPr>
        <w:t>implementación de</w:t>
      </w:r>
      <w:r w:rsidR="00E5315F">
        <w:rPr>
          <w:rFonts w:eastAsia="Times New Roman" w:cstheme="minorHAnsi"/>
          <w:bCs/>
          <w:iCs/>
          <w:lang w:val="es-AR"/>
        </w:rPr>
        <w:t xml:space="preserve"> medidas para </w:t>
      </w:r>
      <w:r w:rsidR="00490973">
        <w:rPr>
          <w:rFonts w:eastAsia="Times New Roman" w:cstheme="minorHAnsi"/>
          <w:bCs/>
          <w:iCs/>
          <w:lang w:val="es-AR"/>
        </w:rPr>
        <w:t xml:space="preserve">la transición </w:t>
      </w:r>
      <w:r w:rsidR="0041100E" w:rsidRPr="003F612F">
        <w:rPr>
          <w:rFonts w:eastAsia="Times New Roman" w:cstheme="minorHAnsi"/>
          <w:bCs/>
          <w:iCs/>
          <w:lang w:val="es-AR"/>
        </w:rPr>
        <w:t xml:space="preserve">hacia un Observatorio independiente del </w:t>
      </w:r>
      <w:r w:rsidR="00490973">
        <w:rPr>
          <w:rFonts w:eastAsia="Times New Roman" w:cstheme="minorHAnsi"/>
          <w:bCs/>
          <w:iCs/>
          <w:lang w:val="es-AR"/>
        </w:rPr>
        <w:t>Poder Ejecutivo Nacional</w:t>
      </w:r>
      <w:r w:rsidR="0051374B">
        <w:rPr>
          <w:rFonts w:eastAsia="Times New Roman" w:cstheme="minorHAnsi"/>
          <w:bCs/>
          <w:iCs/>
          <w:lang w:val="es-AR"/>
        </w:rPr>
        <w:t xml:space="preserve"> y armonizado con la CP</w:t>
      </w:r>
      <w:r w:rsidR="0093672C">
        <w:rPr>
          <w:rFonts w:eastAsia="Times New Roman" w:cstheme="minorHAnsi"/>
          <w:bCs/>
          <w:iCs/>
          <w:lang w:val="es-AR"/>
        </w:rPr>
        <w:t>C</w:t>
      </w:r>
      <w:r w:rsidR="0051374B">
        <w:rPr>
          <w:rFonts w:eastAsia="Times New Roman" w:cstheme="minorHAnsi"/>
          <w:bCs/>
          <w:iCs/>
          <w:lang w:val="es-AR"/>
        </w:rPr>
        <w:t>D</w:t>
      </w:r>
      <w:r w:rsidR="005E6206">
        <w:rPr>
          <w:rFonts w:eastAsia="Times New Roman" w:cstheme="minorHAnsi"/>
          <w:bCs/>
          <w:iCs/>
          <w:lang w:val="es-AR"/>
        </w:rPr>
        <w:t xml:space="preserve"> y los principios de París</w:t>
      </w:r>
      <w:r w:rsidR="00490973">
        <w:rPr>
          <w:rFonts w:eastAsia="Times New Roman" w:cstheme="minorHAnsi"/>
          <w:bCs/>
          <w:iCs/>
          <w:lang w:val="es-AR"/>
        </w:rPr>
        <w:t xml:space="preserve">. </w:t>
      </w:r>
      <w:r w:rsidR="00E5315F">
        <w:rPr>
          <w:rFonts w:eastAsia="Times New Roman" w:cstheme="minorHAnsi"/>
          <w:bCs/>
          <w:iCs/>
          <w:lang w:val="es-AR"/>
        </w:rPr>
        <w:t xml:space="preserve">Para ello debe </w:t>
      </w:r>
      <w:r w:rsidR="00E5315F">
        <w:rPr>
          <w:rFonts w:eastAsia="Times New Roman" w:cstheme="minorHAnsi"/>
          <w:bCs/>
          <w:iCs/>
          <w:lang w:val="es-AR"/>
        </w:rPr>
        <w:lastRenderedPageBreak/>
        <w:t xml:space="preserve">contemplarse el documento elaborado por la Sociedad Civil. </w:t>
      </w:r>
      <w:r>
        <w:rPr>
          <w:rFonts w:eastAsia="Times New Roman" w:cstheme="minorHAnsi"/>
          <w:bCs/>
          <w:iCs/>
          <w:lang w:val="es-AR"/>
        </w:rPr>
        <w:t xml:space="preserve">Debe contar con </w:t>
      </w:r>
      <w:r w:rsidR="00110784">
        <w:rPr>
          <w:rFonts w:eastAsia="Times New Roman" w:cstheme="minorHAnsi"/>
          <w:bCs/>
          <w:iCs/>
          <w:lang w:val="es-AR"/>
        </w:rPr>
        <w:t xml:space="preserve">presupuesto, plazos y modo de implementación </w:t>
      </w:r>
    </w:p>
    <w:sectPr w:rsidR="0041100E" w:rsidRPr="0051374B" w:rsidSect="006F5FFD">
      <w:headerReference w:type="default" r:id="rId16"/>
      <w:footerReference w:type="default" r:id="rId17"/>
      <w:pgSz w:w="11906" w:h="16838"/>
      <w:pgMar w:top="1440" w:right="1080" w:bottom="1440" w:left="108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568F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8479" w16cex:dateUtc="2023-01-0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68F3B" w16cid:durableId="27608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B575" w14:textId="77777777" w:rsidR="00E21FD0" w:rsidRDefault="00E21FD0" w:rsidP="00E413A2">
      <w:pPr>
        <w:spacing w:after="0" w:line="240" w:lineRule="auto"/>
      </w:pPr>
      <w:r>
        <w:separator/>
      </w:r>
    </w:p>
  </w:endnote>
  <w:endnote w:type="continuationSeparator" w:id="0">
    <w:p w14:paraId="2B02954C" w14:textId="77777777" w:rsidR="00E21FD0" w:rsidRDefault="00E21FD0" w:rsidP="00E4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iv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10374"/>
      <w:docPartObj>
        <w:docPartGallery w:val="Page Numbers (Bottom of Page)"/>
        <w:docPartUnique/>
      </w:docPartObj>
    </w:sdtPr>
    <w:sdtContent>
      <w:p w14:paraId="0B8CFAF7" w14:textId="229F0147" w:rsidR="005E6206" w:rsidRDefault="005E6206">
        <w:pPr>
          <w:pStyle w:val="Piedepgina"/>
          <w:jc w:val="right"/>
        </w:pPr>
        <w:r>
          <w:fldChar w:fldCharType="begin"/>
        </w:r>
        <w:r>
          <w:instrText>PAGE   \* MERGEFORMAT</w:instrText>
        </w:r>
        <w:r>
          <w:fldChar w:fldCharType="separate"/>
        </w:r>
        <w:r w:rsidR="00CA3C37" w:rsidRPr="00CA3C37">
          <w:rPr>
            <w:noProof/>
            <w:lang w:val="es-ES"/>
          </w:rPr>
          <w:t>13</w:t>
        </w:r>
        <w:r>
          <w:fldChar w:fldCharType="end"/>
        </w:r>
      </w:p>
    </w:sdtContent>
  </w:sdt>
  <w:p w14:paraId="3A8485D6" w14:textId="77777777" w:rsidR="005E6206" w:rsidRDefault="005E6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3619" w14:textId="77777777" w:rsidR="00E21FD0" w:rsidRDefault="00E21FD0" w:rsidP="00E413A2">
      <w:pPr>
        <w:spacing w:after="0" w:line="240" w:lineRule="auto"/>
      </w:pPr>
      <w:r>
        <w:separator/>
      </w:r>
    </w:p>
  </w:footnote>
  <w:footnote w:type="continuationSeparator" w:id="0">
    <w:p w14:paraId="1F370767" w14:textId="77777777" w:rsidR="00E21FD0" w:rsidRDefault="00E21FD0" w:rsidP="00E413A2">
      <w:pPr>
        <w:spacing w:after="0" w:line="240" w:lineRule="auto"/>
      </w:pPr>
      <w:r>
        <w:continuationSeparator/>
      </w:r>
    </w:p>
  </w:footnote>
  <w:footnote w:id="1">
    <w:p w14:paraId="3559A2A7" w14:textId="68635F49" w:rsidR="005E6206" w:rsidRDefault="005E6206" w:rsidP="008C6FDB">
      <w:pPr>
        <w:pStyle w:val="Textonotapie"/>
        <w:jc w:val="both"/>
      </w:pPr>
      <w:r>
        <w:rPr>
          <w:rStyle w:val="Refdenotaalpie"/>
        </w:rPr>
        <w:footnoteRef/>
      </w:r>
      <w:r>
        <w:t xml:space="preserve"> El proyecto cuenta con la media sanción de la Cámara de Diputados de la Nación. Proyecto de Ley disponible </w:t>
      </w:r>
      <w:hyperlink r:id="rId1" w:history="1">
        <w:r w:rsidRPr="00C37C64">
          <w:rPr>
            <w:rStyle w:val="Hipervnculo"/>
          </w:rPr>
          <w:t xml:space="preserve">aquí. </w:t>
        </w:r>
      </w:hyperlink>
      <w:r>
        <w:t xml:space="preserve"> </w:t>
      </w:r>
    </w:p>
  </w:footnote>
  <w:footnote w:id="2">
    <w:p w14:paraId="4670890C" w14:textId="1BABC93C" w:rsidR="005E6206" w:rsidRDefault="005E6206">
      <w:pPr>
        <w:pStyle w:val="Textonotapie"/>
      </w:pPr>
      <w:r>
        <w:rPr>
          <w:rStyle w:val="Refdenotaalpie"/>
        </w:rPr>
        <w:footnoteRef/>
      </w:r>
      <w:r>
        <w:t xml:space="preserve"> </w:t>
      </w:r>
      <w:r w:rsidRPr="00AB78F6">
        <w:rPr>
          <w:bCs/>
          <w:lang w:val="es-ES"/>
        </w:rPr>
        <w:t>Informe País</w:t>
      </w:r>
      <w:r>
        <w:rPr>
          <w:bCs/>
          <w:lang w:val="es-ES"/>
        </w:rPr>
        <w:t xml:space="preserve">, </w:t>
      </w:r>
      <w:r w:rsidRPr="00AB78F6">
        <w:rPr>
          <w:bCs/>
          <w:lang w:val="es-ES"/>
        </w:rPr>
        <w:t>párrafo 31</w:t>
      </w:r>
      <w:r>
        <w:rPr>
          <w:bCs/>
          <w:lang w:val="es-ES"/>
        </w:rPr>
        <w:t xml:space="preserve">. </w:t>
      </w:r>
    </w:p>
  </w:footnote>
  <w:footnote w:id="3">
    <w:p w14:paraId="6735F206" w14:textId="5365BC24" w:rsidR="005E6206" w:rsidRDefault="005E6206" w:rsidP="008C6FDB">
      <w:pPr>
        <w:pStyle w:val="Textonotapie"/>
        <w:jc w:val="both"/>
      </w:pPr>
      <w:r>
        <w:rPr>
          <w:rStyle w:val="Refdenotaalpie"/>
        </w:rPr>
        <w:footnoteRef/>
      </w:r>
      <w:r>
        <w:t xml:space="preserve"> Por este motivo, el proyecto </w:t>
      </w:r>
      <w:r w:rsidRPr="000C0D42">
        <w:t>de ley también sería contrario al artículo 31 de la Convención.</w:t>
      </w:r>
    </w:p>
  </w:footnote>
  <w:footnote w:id="4">
    <w:p w14:paraId="0FB4A209" w14:textId="401136EB" w:rsidR="005E6206" w:rsidRPr="00E921F2" w:rsidRDefault="005E6206" w:rsidP="008C6FDB">
      <w:pPr>
        <w:spacing w:after="0" w:line="240" w:lineRule="auto"/>
        <w:contextualSpacing/>
        <w:jc w:val="both"/>
        <w:rPr>
          <w:sz w:val="20"/>
          <w:szCs w:val="20"/>
        </w:rPr>
      </w:pPr>
      <w:r w:rsidRPr="00E921F2">
        <w:rPr>
          <w:sz w:val="20"/>
          <w:szCs w:val="20"/>
          <w:vertAlign w:val="superscript"/>
        </w:rPr>
        <w:footnoteRef/>
      </w:r>
      <w:r w:rsidRPr="00E921F2">
        <w:rPr>
          <w:sz w:val="20"/>
          <w:szCs w:val="20"/>
        </w:rPr>
        <w:t xml:space="preserve"> </w:t>
      </w:r>
      <w:hyperlink r:id="rId2">
        <w:r w:rsidRPr="00E921F2">
          <w:rPr>
            <w:rFonts w:cstheme="minorHAnsi"/>
            <w:color w:val="1155CC"/>
            <w:sz w:val="20"/>
            <w:szCs w:val="20"/>
            <w:u w:val="single"/>
            <w:lang w:val="es-AR"/>
          </w:rPr>
          <w:t xml:space="preserve">Comité Asesor de </w:t>
        </w:r>
        <w:proofErr w:type="spellStart"/>
        <w:r w:rsidRPr="00E921F2">
          <w:rPr>
            <w:rFonts w:cstheme="minorHAnsi"/>
            <w:color w:val="1155CC"/>
            <w:sz w:val="20"/>
            <w:szCs w:val="20"/>
            <w:u w:val="single"/>
            <w:lang w:val="es-AR"/>
          </w:rPr>
          <w:t>Andis</w:t>
        </w:r>
        <w:proofErr w:type="spellEnd"/>
      </w:hyperlink>
      <w:r w:rsidRPr="00E921F2">
        <w:rPr>
          <w:rFonts w:cstheme="minorHAnsi"/>
          <w:color w:val="1155CC"/>
          <w:sz w:val="20"/>
          <w:szCs w:val="20"/>
          <w:u w:val="single"/>
          <w:lang w:val="es-AR"/>
        </w:rPr>
        <w:t xml:space="preserve"> </w:t>
      </w:r>
    </w:p>
  </w:footnote>
  <w:footnote w:id="5">
    <w:p w14:paraId="1FB8DA62" w14:textId="59110275" w:rsidR="005E6206" w:rsidRPr="00E921F2" w:rsidRDefault="005E6206" w:rsidP="008C6FDB">
      <w:pPr>
        <w:spacing w:after="0" w:line="240" w:lineRule="auto"/>
        <w:contextualSpacing/>
        <w:jc w:val="both"/>
        <w:rPr>
          <w:sz w:val="20"/>
          <w:szCs w:val="20"/>
        </w:rPr>
      </w:pPr>
      <w:r w:rsidRPr="00E921F2">
        <w:rPr>
          <w:sz w:val="20"/>
          <w:szCs w:val="20"/>
          <w:vertAlign w:val="superscript"/>
        </w:rPr>
        <w:footnoteRef/>
      </w:r>
      <w:r w:rsidRPr="00E921F2">
        <w:rPr>
          <w:sz w:val="20"/>
          <w:szCs w:val="20"/>
        </w:rPr>
        <w:t xml:space="preserve"> </w:t>
      </w:r>
      <w:hyperlink r:id="rId3">
        <w:r w:rsidRPr="00E921F2">
          <w:rPr>
            <w:rFonts w:cstheme="minorHAnsi"/>
            <w:color w:val="1155CC"/>
            <w:sz w:val="20"/>
            <w:szCs w:val="20"/>
            <w:u w:val="single"/>
            <w:lang w:val="es-AR"/>
          </w:rPr>
          <w:t>Directorio del Sistema de Prestaciones</w:t>
        </w:r>
      </w:hyperlink>
    </w:p>
  </w:footnote>
  <w:footnote w:id="6">
    <w:p w14:paraId="119EB467" w14:textId="01FFA7AA" w:rsidR="005E6206" w:rsidRPr="00E921F2" w:rsidRDefault="005E6206" w:rsidP="008C6FDB">
      <w:pPr>
        <w:spacing w:after="0" w:line="240" w:lineRule="auto"/>
        <w:contextualSpacing/>
        <w:jc w:val="both"/>
        <w:rPr>
          <w:sz w:val="20"/>
          <w:szCs w:val="20"/>
        </w:rPr>
      </w:pPr>
      <w:r w:rsidRPr="00E921F2">
        <w:rPr>
          <w:sz w:val="20"/>
          <w:szCs w:val="20"/>
          <w:vertAlign w:val="superscript"/>
        </w:rPr>
        <w:footnoteRef/>
      </w:r>
      <w:r w:rsidRPr="00E921F2">
        <w:rPr>
          <w:sz w:val="20"/>
          <w:szCs w:val="20"/>
        </w:rPr>
        <w:t xml:space="preserve"> </w:t>
      </w:r>
      <w:hyperlink r:id="rId4">
        <w:r w:rsidRPr="00E921F2">
          <w:rPr>
            <w:rFonts w:cstheme="minorHAnsi"/>
            <w:color w:val="1155CC"/>
            <w:sz w:val="20"/>
            <w:szCs w:val="20"/>
            <w:u w:val="single"/>
            <w:lang w:val="es-AR"/>
          </w:rPr>
          <w:t>Consejo Federal de Discapacidad</w:t>
        </w:r>
      </w:hyperlink>
    </w:p>
  </w:footnote>
  <w:footnote w:id="7">
    <w:p w14:paraId="107B7BE2" w14:textId="6AFC30BC" w:rsidR="005E6206" w:rsidRPr="00E921F2" w:rsidRDefault="005E6206" w:rsidP="008C6FDB">
      <w:pPr>
        <w:spacing w:after="0" w:line="240" w:lineRule="auto"/>
        <w:contextualSpacing/>
        <w:jc w:val="both"/>
        <w:rPr>
          <w:sz w:val="20"/>
          <w:szCs w:val="20"/>
        </w:rPr>
      </w:pPr>
      <w:r w:rsidRPr="00E921F2">
        <w:rPr>
          <w:sz w:val="20"/>
          <w:szCs w:val="20"/>
          <w:vertAlign w:val="superscript"/>
        </w:rPr>
        <w:footnoteRef/>
      </w:r>
      <w:r w:rsidRPr="00E921F2">
        <w:rPr>
          <w:sz w:val="20"/>
          <w:szCs w:val="20"/>
        </w:rPr>
        <w:t xml:space="preserve"> </w:t>
      </w:r>
      <w:hyperlink r:id="rId5">
        <w:r w:rsidRPr="00E921F2">
          <w:rPr>
            <w:rFonts w:cstheme="minorHAnsi"/>
            <w:color w:val="1155CC"/>
            <w:sz w:val="20"/>
            <w:szCs w:val="20"/>
            <w:u w:val="single"/>
            <w:lang w:val="es-AR"/>
          </w:rPr>
          <w:t>Observatorio de la Discapacidad</w:t>
        </w:r>
      </w:hyperlink>
    </w:p>
  </w:footnote>
  <w:footnote w:id="8">
    <w:p w14:paraId="44D4B9BF" w14:textId="6CF64BD0" w:rsidR="005E6206" w:rsidRPr="00370A25" w:rsidRDefault="005E6206" w:rsidP="008C6FDB">
      <w:pPr>
        <w:spacing w:after="0" w:line="240" w:lineRule="auto"/>
        <w:contextualSpacing/>
        <w:jc w:val="both"/>
        <w:rPr>
          <w:rFonts w:cstheme="minorHAnsi"/>
          <w:sz w:val="20"/>
          <w:szCs w:val="20"/>
        </w:rPr>
      </w:pPr>
      <w:r w:rsidRPr="00370A25">
        <w:rPr>
          <w:rFonts w:cstheme="minorHAnsi"/>
          <w:sz w:val="20"/>
          <w:szCs w:val="20"/>
          <w:vertAlign w:val="superscript"/>
        </w:rPr>
        <w:footnoteRef/>
      </w:r>
      <w:r>
        <w:rPr>
          <w:rFonts w:cstheme="minorHAnsi"/>
          <w:sz w:val="20"/>
          <w:szCs w:val="20"/>
        </w:rPr>
        <w:t xml:space="preserve"> Desde la </w:t>
      </w:r>
      <w:r w:rsidRPr="00370A25">
        <w:rPr>
          <w:rFonts w:eastAsia="Times New Roman" w:cstheme="minorHAnsi"/>
          <w:sz w:val="20"/>
          <w:szCs w:val="20"/>
        </w:rPr>
        <w:t xml:space="preserve">Mesa de trabajo en discapacidad y DDHH </w:t>
      </w:r>
      <w:hyperlink r:id="rId6">
        <w:r w:rsidRPr="00370A25">
          <w:rPr>
            <w:rFonts w:eastAsia="Times New Roman" w:cstheme="minorHAnsi"/>
            <w:color w:val="1155CC"/>
            <w:sz w:val="20"/>
            <w:szCs w:val="20"/>
            <w:u w:val="single"/>
          </w:rPr>
          <w:t>compartíamos esta nota</w:t>
        </w:r>
      </w:hyperlink>
      <w:r w:rsidRPr="00370A25">
        <w:rPr>
          <w:rFonts w:eastAsia="Times New Roman" w:cstheme="minorHAnsi"/>
          <w:sz w:val="20"/>
          <w:szCs w:val="20"/>
        </w:rPr>
        <w:t>.</w:t>
      </w:r>
    </w:p>
  </w:footnote>
  <w:footnote w:id="9">
    <w:p w14:paraId="5E7BA264" w14:textId="6B7B00AA" w:rsidR="005E6206" w:rsidRPr="006A0CE3" w:rsidRDefault="005E6206" w:rsidP="008C6FDB">
      <w:pPr>
        <w:pStyle w:val="Textonotapie"/>
        <w:jc w:val="both"/>
        <w:rPr>
          <w:lang w:val="es-ES"/>
        </w:rPr>
      </w:pPr>
      <w:r>
        <w:rPr>
          <w:rStyle w:val="Refdenotaalpie"/>
        </w:rPr>
        <w:footnoteRef/>
      </w:r>
      <w:r>
        <w:t xml:space="preserve"> El FONADIS se creó por </w:t>
      </w:r>
      <w:r>
        <w:rPr>
          <w:lang w:val="es-ES"/>
        </w:rPr>
        <w:t xml:space="preserve">Decreto 187/22, en reemplazo del fondo provisto por las Leyes 24.452 y 25.730, reglamentado por Decreto 1277/2003. </w:t>
      </w:r>
    </w:p>
  </w:footnote>
  <w:footnote w:id="10">
    <w:p w14:paraId="3FCF85F0" w14:textId="1808118B" w:rsidR="005E6206" w:rsidRPr="00197ACF" w:rsidRDefault="005E6206">
      <w:pPr>
        <w:pStyle w:val="Textonotapie"/>
      </w:pPr>
      <w:r>
        <w:rPr>
          <w:rStyle w:val="Refdenotaalpie"/>
        </w:rPr>
        <w:footnoteRef/>
      </w:r>
      <w:r>
        <w:t xml:space="preserve"> </w:t>
      </w:r>
      <w:r>
        <w:rPr>
          <w:lang w:val="es-ES"/>
        </w:rPr>
        <w:t>Decreto 746/2021</w:t>
      </w:r>
      <w:hyperlink r:id="rId7" w:history="1">
        <w:r w:rsidRPr="00AB78F6">
          <w:rPr>
            <w:rStyle w:val="Hipervnculo"/>
            <w:lang w:val="es-ES"/>
          </w:rPr>
          <w:t xml:space="preserve">: link. </w:t>
        </w:r>
      </w:hyperlink>
      <w:r>
        <w:rPr>
          <w:lang w:val="es-ES"/>
        </w:rPr>
        <w:t xml:space="preserve"> </w:t>
      </w:r>
    </w:p>
  </w:footnote>
  <w:footnote w:id="11">
    <w:p w14:paraId="413DA727" w14:textId="77777777" w:rsidR="005E6206" w:rsidRPr="00370A25" w:rsidRDefault="005E6206" w:rsidP="00E413A2">
      <w:pPr>
        <w:pBdr>
          <w:top w:val="nil"/>
          <w:left w:val="nil"/>
          <w:bottom w:val="nil"/>
          <w:right w:val="nil"/>
          <w:between w:val="nil"/>
        </w:pBdr>
        <w:spacing w:after="0" w:line="240" w:lineRule="auto"/>
        <w:jc w:val="both"/>
        <w:rPr>
          <w:color w:val="000000"/>
          <w:sz w:val="20"/>
          <w:szCs w:val="20"/>
        </w:rPr>
      </w:pPr>
      <w:r w:rsidRPr="00370A25">
        <w:rPr>
          <w:sz w:val="20"/>
          <w:szCs w:val="20"/>
          <w:vertAlign w:val="superscript"/>
        </w:rPr>
        <w:footnoteRef/>
      </w:r>
      <w:r w:rsidRPr="00370A25">
        <w:rPr>
          <w:color w:val="000000"/>
          <w:sz w:val="20"/>
          <w:szCs w:val="20"/>
        </w:rPr>
        <w:t xml:space="preserve"> Audiencia Pública Región AMBA sobre la Nueva Ley de Discapacidad. 30/5/22</w:t>
      </w:r>
      <w:hyperlink r:id="rId8" w:history="1">
        <w:r w:rsidRPr="00370A25">
          <w:rPr>
            <w:rStyle w:val="Hipervnculo"/>
            <w:rFonts w:cstheme="minorBidi"/>
            <w:sz w:val="20"/>
            <w:szCs w:val="20"/>
          </w:rPr>
          <w:t>. Link</w:t>
        </w:r>
      </w:hyperlink>
      <w:r w:rsidRPr="00370A25">
        <w:rPr>
          <w:color w:val="000000"/>
          <w:sz w:val="20"/>
          <w:szCs w:val="20"/>
        </w:rPr>
        <w:t xml:space="preserve">;  Audiencia Pública sobre la Nueva Ley de Discapacidad Nueva Ley de Discapacidad. Oradores 7, 8, 11, 12, y 13: </w:t>
      </w:r>
      <w:hyperlink r:id="rId9" w:history="1">
        <w:r w:rsidRPr="00370A25">
          <w:rPr>
            <w:rStyle w:val="Hipervnculo"/>
            <w:rFonts w:cstheme="minorBidi"/>
            <w:sz w:val="20"/>
            <w:szCs w:val="20"/>
          </w:rPr>
          <w:t>Link.</w:t>
        </w:r>
      </w:hyperlink>
      <w:r w:rsidRPr="00370A25">
        <w:rPr>
          <w:color w:val="000000"/>
          <w:sz w:val="20"/>
          <w:szCs w:val="20"/>
        </w:rPr>
        <w:t xml:space="preserve"> </w:t>
      </w:r>
    </w:p>
  </w:footnote>
  <w:footnote w:id="12">
    <w:p w14:paraId="75426B8A" w14:textId="7479A9B5" w:rsidR="005E6206" w:rsidRPr="00391386" w:rsidRDefault="005E6206" w:rsidP="00E413A2">
      <w:pPr>
        <w:spacing w:after="0" w:line="240" w:lineRule="auto"/>
        <w:jc w:val="both"/>
        <w:rPr>
          <w:sz w:val="18"/>
          <w:szCs w:val="18"/>
        </w:rPr>
      </w:pPr>
      <w:r w:rsidRPr="00370A25">
        <w:rPr>
          <w:sz w:val="20"/>
          <w:szCs w:val="20"/>
          <w:vertAlign w:val="superscript"/>
        </w:rPr>
        <w:footnoteRef/>
      </w:r>
      <w:r w:rsidRPr="00370A25">
        <w:rPr>
          <w:sz w:val="20"/>
          <w:szCs w:val="20"/>
        </w:rPr>
        <w:t xml:space="preserve"> Fundación </w:t>
      </w:r>
      <w:r w:rsidRPr="005C690D">
        <w:rPr>
          <w:sz w:val="20"/>
          <w:szCs w:val="20"/>
        </w:rPr>
        <w:t xml:space="preserve">Rumbos, Nota enviada a ANDIS: Reiteramos el planteo de hacer público el proyecto de Ley de Discapacidad, 22 de noviembre de 2022: </w:t>
      </w:r>
      <w:hyperlink r:id="rId10" w:history="1">
        <w:r w:rsidRPr="005C690D">
          <w:rPr>
            <w:rStyle w:val="Hipervnculo"/>
            <w:rFonts w:cstheme="minorBidi"/>
            <w:sz w:val="20"/>
            <w:szCs w:val="20"/>
          </w:rPr>
          <w:t>link.</w:t>
        </w:r>
      </w:hyperlink>
      <w:r>
        <w:rPr>
          <w:sz w:val="18"/>
          <w:szCs w:val="18"/>
        </w:rPr>
        <w:t xml:space="preserve"> </w:t>
      </w:r>
    </w:p>
  </w:footnote>
  <w:footnote w:id="13">
    <w:p w14:paraId="10248E50" w14:textId="77777777" w:rsidR="005E6206" w:rsidRDefault="005E6206" w:rsidP="005C49A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Fundación Rumbos, intervenciones en audiencias públicas pertinentes a accesibilidad (Nación y CABA, 2018-2022): </w:t>
      </w:r>
      <w:hyperlink r:id="rId11" w:history="1">
        <w:r w:rsidRPr="00E72D26">
          <w:rPr>
            <w:rStyle w:val="Hipervnculo"/>
            <w:rFonts w:cstheme="minorBidi"/>
            <w:sz w:val="20"/>
            <w:szCs w:val="20"/>
          </w:rPr>
          <w:t>link.</w:t>
        </w:r>
      </w:hyperlink>
      <w:r>
        <w:rPr>
          <w:color w:val="000000"/>
          <w:sz w:val="20"/>
          <w:szCs w:val="20"/>
        </w:rPr>
        <w:t xml:space="preserve"> </w:t>
      </w:r>
    </w:p>
  </w:footnote>
  <w:footnote w:id="14">
    <w:p w14:paraId="65744C3B" w14:textId="1D3AEDF2" w:rsidR="005E6206" w:rsidRDefault="005E6206" w:rsidP="005C49A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Página 12, “</w:t>
      </w:r>
      <w:hyperlink r:id="rId12" w:history="1">
        <w:r w:rsidRPr="00630AAD">
          <w:rPr>
            <w:rStyle w:val="Hipervnculo"/>
            <w:rFonts w:cstheme="minorBidi"/>
            <w:sz w:val="20"/>
            <w:szCs w:val="20"/>
          </w:rPr>
          <w:t>La garantía del debido proceso</w:t>
        </w:r>
      </w:hyperlink>
      <w:r>
        <w:rPr>
          <w:color w:val="000000"/>
          <w:sz w:val="20"/>
          <w:szCs w:val="20"/>
        </w:rPr>
        <w:t>”, 2 de octubre de 2019.</w:t>
      </w:r>
    </w:p>
  </w:footnote>
  <w:footnote w:id="15">
    <w:p w14:paraId="399D63FA" w14:textId="28AFE9BB" w:rsidR="005E6206" w:rsidRDefault="005E6206" w:rsidP="005C49A8">
      <w:pPr>
        <w:spacing w:after="0" w:line="240" w:lineRule="auto"/>
        <w:jc w:val="both"/>
        <w:rPr>
          <w:sz w:val="20"/>
          <w:szCs w:val="20"/>
        </w:rPr>
      </w:pPr>
      <w:r>
        <w:rPr>
          <w:vertAlign w:val="superscript"/>
        </w:rPr>
        <w:footnoteRef/>
      </w:r>
      <w:r>
        <w:rPr>
          <w:sz w:val="20"/>
          <w:szCs w:val="20"/>
        </w:rPr>
        <w:t xml:space="preserve"> </w:t>
      </w:r>
      <w:r w:rsidRPr="005C690D">
        <w:rPr>
          <w:sz w:val="20"/>
          <w:szCs w:val="20"/>
        </w:rPr>
        <w:t>JOLY, EDUARDO DANIEL Y OTROS CONTRA LEGISLATURA DE LA CABA Y OTROS SOBRE INCIDENTE DE RECURSO DE INCONSTITUCIONALIDAD - AMPARO – OTROS</w:t>
      </w:r>
      <w:r>
        <w:rPr>
          <w:sz w:val="20"/>
          <w:szCs w:val="20"/>
        </w:rPr>
        <w:t xml:space="preserve">: </w:t>
      </w:r>
      <w:hyperlink r:id="rId13" w:history="1">
        <w:r w:rsidRPr="005C690D">
          <w:rPr>
            <w:rStyle w:val="Hipervnculo"/>
            <w:rFonts w:cstheme="minorBidi"/>
            <w:sz w:val="20"/>
            <w:szCs w:val="20"/>
          </w:rPr>
          <w:t>link.</w:t>
        </w:r>
      </w:hyperlink>
      <w:r>
        <w:rPr>
          <w:sz w:val="20"/>
          <w:szCs w:val="20"/>
        </w:rPr>
        <w:t xml:space="preserve"> </w:t>
      </w:r>
    </w:p>
  </w:footnote>
  <w:footnote w:id="16">
    <w:p w14:paraId="4696065E" w14:textId="77777777" w:rsidR="005E6206" w:rsidRPr="0029162E" w:rsidRDefault="005E6206" w:rsidP="00A123CD">
      <w:pPr>
        <w:pStyle w:val="Textonotapie"/>
      </w:pPr>
      <w:r>
        <w:rPr>
          <w:rStyle w:val="Refdenotaalpie"/>
        </w:rPr>
        <w:footnoteRef/>
      </w:r>
      <w:r>
        <w:t xml:space="preserve"> </w:t>
      </w:r>
      <w:hyperlink r:id="rId14" w:history="1">
        <w:r>
          <w:rPr>
            <w:rStyle w:val="cf01"/>
            <w:color w:val="0000FF"/>
            <w:u w:val="single"/>
          </w:rPr>
          <w:t>https://www.argentina.gob.ar/inadi/mapa-nacional-de-la-discriminacion</w:t>
        </w:r>
      </w:hyperlink>
    </w:p>
  </w:footnote>
  <w:footnote w:id="17">
    <w:p w14:paraId="74CBE7CF" w14:textId="049748D8" w:rsidR="005E6206" w:rsidRDefault="005E6206" w:rsidP="005C49A8">
      <w:pPr>
        <w:pStyle w:val="Textonotapie"/>
        <w:jc w:val="both"/>
      </w:pPr>
      <w:r>
        <w:rPr>
          <w:rStyle w:val="Refdenotaalpie"/>
        </w:rPr>
        <w:footnoteRef/>
      </w:r>
      <w:r>
        <w:t xml:space="preserve"> Jujuy al Momento, “</w:t>
      </w:r>
      <w:hyperlink r:id="rId15" w:history="1">
        <w:r w:rsidRPr="005C49A8">
          <w:rPr>
            <w:rStyle w:val="Hipervnculo"/>
          </w:rPr>
          <w:t>Malestar y quejas por largas filas y atención lenta en Hospital Néstor Sequeiros</w:t>
        </w:r>
      </w:hyperlink>
      <w:r>
        <w:t xml:space="preserve">”, 24 de octubre de 2022. </w:t>
      </w:r>
    </w:p>
  </w:footnote>
  <w:footnote w:id="18">
    <w:p w14:paraId="0F144091" w14:textId="287AAF57" w:rsidR="005E6206" w:rsidRDefault="005E6206">
      <w:pPr>
        <w:pStyle w:val="Textonotapie"/>
      </w:pPr>
      <w:r>
        <w:rPr>
          <w:rStyle w:val="Refdenotaalpie"/>
        </w:rPr>
        <w:footnoteRef/>
      </w:r>
      <w:r>
        <w:t xml:space="preserve"> </w:t>
      </w:r>
      <w:r w:rsidRPr="005C49A8">
        <w:t>El ISJ incumpliría orden judicial para niño de 8 años que padece hidrocefalia congénita</w:t>
      </w:r>
      <w:r>
        <w:t xml:space="preserve">: </w:t>
      </w:r>
      <w:hyperlink r:id="rId16" w:history="1">
        <w:r w:rsidRPr="005C49A8">
          <w:rPr>
            <w:rStyle w:val="Hipervnculo"/>
          </w:rPr>
          <w:t>link</w:t>
        </w:r>
      </w:hyperlink>
      <w:r>
        <w:t xml:space="preserve">. </w:t>
      </w:r>
    </w:p>
  </w:footnote>
  <w:footnote w:id="19">
    <w:p w14:paraId="6654D68D" w14:textId="115B7891" w:rsidR="005E6206" w:rsidRPr="00EC7919" w:rsidRDefault="005E6206">
      <w:pPr>
        <w:pStyle w:val="Textonotapie"/>
        <w:rPr>
          <w:lang w:val="es-ES"/>
        </w:rPr>
      </w:pPr>
      <w:r>
        <w:rPr>
          <w:rStyle w:val="Refdenotaalpie"/>
        </w:rPr>
        <w:footnoteRef/>
      </w:r>
      <w:r>
        <w:t xml:space="preserve"> </w:t>
      </w:r>
      <w:r w:rsidRPr="00EC7919">
        <w:t>https://www.facebook.com/AgenciaNacionaldeDiscapacidad/posts/3461050653911718/</w:t>
      </w:r>
    </w:p>
  </w:footnote>
  <w:footnote w:id="20">
    <w:p w14:paraId="24CD34F2" w14:textId="5DA07219" w:rsidR="005E6206" w:rsidRDefault="005E6206" w:rsidP="00F2047C">
      <w:pPr>
        <w:pStyle w:val="Textonotapie"/>
        <w:jc w:val="both"/>
      </w:pPr>
      <w:r>
        <w:rPr>
          <w:rStyle w:val="Refdenotaalpie"/>
        </w:rPr>
        <w:footnoteRef/>
      </w:r>
      <w:r>
        <w:t xml:space="preserve"> </w:t>
      </w:r>
      <w:r w:rsidRPr="00C93DD7">
        <w:t>E</w:t>
      </w:r>
      <w:r>
        <w:t>l</w:t>
      </w:r>
      <w:r w:rsidRPr="00C93DD7">
        <w:t xml:space="preserve"> </w:t>
      </w:r>
      <w:r>
        <w:t>P</w:t>
      </w:r>
      <w:r w:rsidRPr="00C93DD7">
        <w:t xml:space="preserve">lan organiza acciones a través de diversos Programas entre los que caben mencionar: </w:t>
      </w:r>
      <w:r>
        <w:t xml:space="preserve">i) </w:t>
      </w:r>
      <w:r w:rsidRPr="00C93DD7">
        <w:t xml:space="preserve">Programa Acompañar: </w:t>
      </w:r>
      <w:r>
        <w:t>t</w:t>
      </w:r>
      <w:r w:rsidRPr="00C93DD7">
        <w:t>iene como objetivo principal brindar asistencia directa y fortalecer la independencia económica de mujeres y LGBTI+ en situación de violencia de género promoviendo las condiciones materiales que permitan el desarrollo de proyectos de vida autónomos y una vida libre de violencias</w:t>
      </w:r>
      <w:r>
        <w:t>; ii)</w:t>
      </w:r>
      <w:r w:rsidRPr="00C93DD7">
        <w:t xml:space="preserve"> Programa para el Apoyo Urgente y la Asistencia Integral Inmediata ante casos de Violencias Extremas por Motivos de Género</w:t>
      </w:r>
      <w:r>
        <w:t>; iii)</w:t>
      </w:r>
      <w:r w:rsidRPr="00C93DD7">
        <w:t xml:space="preserve"> Programa de Fortalecimiento para Dispositivos Territoriales de Protección Integral de Personas en Contexto de Violencia por Motivos de Género, </w:t>
      </w:r>
      <w:r>
        <w:t xml:space="preserve">complementa </w:t>
      </w:r>
      <w:r w:rsidRPr="00C93DD7">
        <w:t>la estrategia del Acompañar.</w:t>
      </w:r>
      <w:r>
        <w:t xml:space="preserve"> </w:t>
      </w:r>
    </w:p>
  </w:footnote>
  <w:footnote w:id="21">
    <w:p w14:paraId="7156CDEC" w14:textId="6D5AF09C" w:rsidR="005E6206" w:rsidRDefault="005E6206" w:rsidP="00F2047C">
      <w:pPr>
        <w:pStyle w:val="Textonotapie"/>
        <w:jc w:val="both"/>
      </w:pPr>
      <w:r>
        <w:rPr>
          <w:rStyle w:val="Refdenotaalpie"/>
        </w:rPr>
        <w:footnoteRef/>
      </w:r>
      <w:r>
        <w:t xml:space="preserve"> Este programa asiste </w:t>
      </w:r>
      <w:r w:rsidRPr="00DB7C73">
        <w:t>de manera integral a las personas del grupo familiar y/o personas allegadas de las víctimas de estas violencias extremas a través de una prestación económica, asistencia psicológica y asesoramiento legal</w:t>
      </w:r>
      <w:r>
        <w:t xml:space="preserve">. </w:t>
      </w:r>
    </w:p>
  </w:footnote>
  <w:footnote w:id="22">
    <w:p w14:paraId="4D3948E7" w14:textId="01F0711B" w:rsidR="005E6206" w:rsidRDefault="005E6206" w:rsidP="00F2047C">
      <w:pPr>
        <w:pStyle w:val="Textonotapie"/>
        <w:jc w:val="both"/>
      </w:pPr>
      <w:r>
        <w:rPr>
          <w:rStyle w:val="Refdenotaalpie"/>
        </w:rPr>
        <w:footnoteRef/>
      </w:r>
      <w:r>
        <w:t xml:space="preserve"> Este programa </w:t>
      </w:r>
      <w:r w:rsidRPr="00DB7C73">
        <w:t>busca fortalecer y consolidar la Red de hogares, refugios y dispositivos de protección a través del financiamiento de proyectos para la refacción, equipamiento y ampliación de los hogares</w:t>
      </w:r>
      <w:r>
        <w:t xml:space="preserve">. </w:t>
      </w:r>
    </w:p>
  </w:footnote>
  <w:footnote w:id="23">
    <w:p w14:paraId="3B531032" w14:textId="77777777" w:rsidR="005E6206" w:rsidRPr="00F62527" w:rsidRDefault="005E6206" w:rsidP="00462CA6">
      <w:pPr>
        <w:spacing w:after="0" w:line="240" w:lineRule="auto"/>
        <w:jc w:val="both"/>
        <w:rPr>
          <w:sz w:val="20"/>
          <w:szCs w:val="20"/>
        </w:rPr>
      </w:pPr>
      <w:r>
        <w:rPr>
          <w:vertAlign w:val="superscript"/>
        </w:rPr>
        <w:footnoteRef/>
      </w:r>
      <w:r>
        <w:rPr>
          <w:sz w:val="20"/>
          <w:szCs w:val="20"/>
        </w:rPr>
        <w:t xml:space="preserve"> </w:t>
      </w:r>
      <w:r w:rsidRPr="00F62527">
        <w:rPr>
          <w:sz w:val="20"/>
          <w:szCs w:val="20"/>
        </w:rPr>
        <w:t>Ley Nacional N°27.610 regula el acceso a la interrupción voluntaria del embarazo y a la atención postaborto. Las disposiciones de la ley son de orden público por lo tanto de aplicación obligatoria en todo el territorio de la República Argentina</w:t>
      </w:r>
      <w:r>
        <w:rPr>
          <w:sz w:val="20"/>
          <w:szCs w:val="20"/>
        </w:rPr>
        <w:t xml:space="preserve">: </w:t>
      </w:r>
      <w:hyperlink r:id="rId17" w:anchor=":~:text=La%20Ley%20N%C2%BA%2027.610%20dispone,ni%20reglamentaci%C3%B3n%20para%20su%20vigencia." w:history="1">
        <w:r w:rsidRPr="00F62527">
          <w:rPr>
            <w:rStyle w:val="Hipervnculo"/>
            <w:rFonts w:cstheme="minorBidi"/>
            <w:sz w:val="20"/>
            <w:szCs w:val="20"/>
          </w:rPr>
          <w:t>link.</w:t>
        </w:r>
      </w:hyperlink>
      <w:r>
        <w:rPr>
          <w:sz w:val="20"/>
          <w:szCs w:val="20"/>
        </w:rPr>
        <w:t xml:space="preserve"> </w:t>
      </w:r>
    </w:p>
  </w:footnote>
  <w:footnote w:id="24">
    <w:p w14:paraId="2FFA7446" w14:textId="3C384C41" w:rsidR="005E6206" w:rsidRPr="009E148B" w:rsidRDefault="005E6206" w:rsidP="00462CA6">
      <w:pPr>
        <w:pStyle w:val="Textonotapie"/>
        <w:rPr>
          <w:lang w:val="es-ES"/>
        </w:rPr>
      </w:pPr>
      <w:r>
        <w:rPr>
          <w:rStyle w:val="Refdenotaalpie"/>
        </w:rPr>
        <w:footnoteRef/>
      </w:r>
      <w:r>
        <w:t xml:space="preserve"> </w:t>
      </w:r>
      <w:r>
        <w:rPr>
          <w:lang w:val="es-ES"/>
        </w:rPr>
        <w:t>Ley 26.061</w:t>
      </w:r>
    </w:p>
  </w:footnote>
  <w:footnote w:id="25">
    <w:p w14:paraId="2DA99025" w14:textId="4F0AB8EF" w:rsidR="005E6206" w:rsidRDefault="005E6206">
      <w:pPr>
        <w:pStyle w:val="Textonotapie"/>
      </w:pPr>
      <w:r>
        <w:rPr>
          <w:rStyle w:val="Refdenotaalpie"/>
        </w:rPr>
        <w:footnoteRef/>
      </w:r>
      <w:r>
        <w:t xml:space="preserve"> C</w:t>
      </w:r>
      <w:r w:rsidRPr="00F2047C">
        <w:t>entros de día, talleres protegidos, hogares, escuelas</w:t>
      </w:r>
      <w:r>
        <w:t xml:space="preserve">. </w:t>
      </w:r>
    </w:p>
  </w:footnote>
  <w:footnote w:id="26">
    <w:p w14:paraId="2C23BE8A" w14:textId="694618C1" w:rsidR="005E6206" w:rsidRDefault="005E6206">
      <w:pPr>
        <w:pStyle w:val="Textonotapie"/>
      </w:pPr>
      <w:r>
        <w:rPr>
          <w:rStyle w:val="Refdenotaalpie"/>
        </w:rPr>
        <w:footnoteRef/>
      </w:r>
      <w:r>
        <w:t xml:space="preserve"> Informe país, párrafo 54. </w:t>
      </w:r>
    </w:p>
  </w:footnote>
  <w:footnote w:id="27">
    <w:p w14:paraId="3B1CB6F2" w14:textId="77777777" w:rsidR="005E6206" w:rsidRDefault="005E6206" w:rsidP="00A958E7">
      <w:pPr>
        <w:pStyle w:val="Textonotapie"/>
      </w:pPr>
      <w:r>
        <w:rPr>
          <w:rStyle w:val="Refdenotaalpie"/>
        </w:rPr>
        <w:footnoteRef/>
      </w:r>
      <w:r>
        <w:t xml:space="preserve"> Portal de trámites a distancia: </w:t>
      </w:r>
      <w:hyperlink r:id="rId18" w:history="1">
        <w:r w:rsidRPr="000F170B">
          <w:rPr>
            <w:rStyle w:val="Hipervnculo"/>
            <w:rFonts w:eastAsiaTheme="majorEastAsia"/>
          </w:rPr>
          <w:t>link.</w:t>
        </w:r>
      </w:hyperlink>
      <w:r>
        <w:t xml:space="preserve"> </w:t>
      </w:r>
    </w:p>
  </w:footnote>
  <w:footnote w:id="28">
    <w:p w14:paraId="7FC3AC27" w14:textId="48758DD5" w:rsidR="005E6206" w:rsidRPr="00E67741" w:rsidRDefault="005E6206">
      <w:pPr>
        <w:pStyle w:val="Textonotapie"/>
        <w:rPr>
          <w:lang w:val="es-ES"/>
        </w:rPr>
      </w:pPr>
      <w:r>
        <w:rPr>
          <w:rStyle w:val="Refdenotaalpie"/>
        </w:rPr>
        <w:footnoteRef/>
      </w:r>
      <w:r w:rsidRPr="00E67741">
        <w:t>Como parte integral de las estrategias de prevención y cuidado de la salud pública ante la pandemia Covid-19, el Gobierno nacional desarrolló el sistema y aplicación Cuidar (Decisión Administrativa 432/2020</w:t>
      </w:r>
      <w:r>
        <w:t xml:space="preserve">  </w:t>
      </w:r>
      <w:hyperlink r:id="rId19" w:history="1">
        <w:r w:rsidRPr="008866A5">
          <w:rPr>
            <w:rStyle w:val="Hipervnculo"/>
          </w:rPr>
          <w:t>https://www.boletinoficial.gob.ar/detalleAviso/primera/227116/20200324</w:t>
        </w:r>
      </w:hyperlink>
    </w:p>
  </w:footnote>
  <w:footnote w:id="29">
    <w:p w14:paraId="50212FF5" w14:textId="77777777" w:rsidR="005E6206" w:rsidRDefault="005E6206" w:rsidP="006C4EAC">
      <w:pPr>
        <w:spacing w:after="0" w:line="240" w:lineRule="auto"/>
        <w:jc w:val="both"/>
        <w:rPr>
          <w:sz w:val="20"/>
          <w:szCs w:val="20"/>
        </w:rPr>
      </w:pPr>
      <w:r>
        <w:rPr>
          <w:vertAlign w:val="superscript"/>
        </w:rPr>
        <w:footnoteRef/>
      </w:r>
      <w:r>
        <w:rPr>
          <w:sz w:val="20"/>
          <w:szCs w:val="20"/>
        </w:rPr>
        <w:t xml:space="preserve"> Los pliegos con especificaciones técnicas solo explicitan cuestiones constructivas: </w:t>
      </w:r>
      <w:hyperlink r:id="rId20" w:history="1">
        <w:r w:rsidRPr="007B28E2">
          <w:rPr>
            <w:rStyle w:val="Hipervnculo"/>
            <w:rFonts w:cstheme="minorBidi"/>
            <w:sz w:val="20"/>
            <w:szCs w:val="20"/>
          </w:rPr>
          <w:t>link</w:t>
        </w:r>
      </w:hyperlink>
      <w:r>
        <w:rPr>
          <w:sz w:val="20"/>
          <w:szCs w:val="20"/>
        </w:rPr>
        <w:t xml:space="preserve">. </w:t>
      </w:r>
    </w:p>
  </w:footnote>
  <w:footnote w:id="30">
    <w:p w14:paraId="2439BA06" w14:textId="77777777" w:rsidR="005E6206" w:rsidRPr="00F5412D" w:rsidRDefault="005E6206" w:rsidP="006C4EAC">
      <w:pPr>
        <w:spacing w:after="0" w:line="240" w:lineRule="auto"/>
        <w:jc w:val="both"/>
        <w:rPr>
          <w:sz w:val="20"/>
          <w:szCs w:val="20"/>
        </w:rPr>
      </w:pPr>
      <w:r w:rsidRPr="00F5412D">
        <w:rPr>
          <w:vertAlign w:val="superscript"/>
        </w:rPr>
        <w:footnoteRef/>
      </w:r>
      <w:r w:rsidRPr="00F5412D">
        <w:rPr>
          <w:sz w:val="20"/>
          <w:szCs w:val="20"/>
        </w:rPr>
        <w:t xml:space="preserve"> Casos en el Área Metropolitana de Buenos Aires (AMBA), incluida CABA: </w:t>
      </w:r>
      <w:hyperlink r:id="rId21" w:anchor="slide=id.gd8087b6127_0_455" w:history="1">
        <w:r w:rsidRPr="00F5412D">
          <w:rPr>
            <w:rStyle w:val="Hipervnculo"/>
            <w:rFonts w:cstheme="minorBidi"/>
            <w:sz w:val="20"/>
            <w:szCs w:val="20"/>
          </w:rPr>
          <w:t>link</w:t>
        </w:r>
      </w:hyperlink>
      <w:r w:rsidRPr="00F5412D">
        <w:rPr>
          <w:sz w:val="20"/>
          <w:szCs w:val="20"/>
        </w:rPr>
        <w:t xml:space="preserve">. </w:t>
      </w:r>
    </w:p>
  </w:footnote>
  <w:footnote w:id="31">
    <w:p w14:paraId="2EC35FA4" w14:textId="77777777" w:rsidR="005E6206" w:rsidRDefault="005E6206" w:rsidP="00B737A6">
      <w:pPr>
        <w:spacing w:after="0" w:line="240" w:lineRule="auto"/>
        <w:jc w:val="both"/>
        <w:rPr>
          <w:color w:val="000000"/>
          <w:sz w:val="20"/>
          <w:szCs w:val="20"/>
        </w:rPr>
      </w:pPr>
      <w:r>
        <w:rPr>
          <w:vertAlign w:val="superscript"/>
        </w:rPr>
        <w:footnoteRef/>
      </w:r>
      <w:r>
        <w:t xml:space="preserve"> </w:t>
      </w:r>
      <w:r>
        <w:rPr>
          <w:sz w:val="20"/>
          <w:szCs w:val="20"/>
        </w:rPr>
        <w:t xml:space="preserve">Modelos de vivienda, producto de concurso de arquitectura implementado a través de los colegios de arquitectos. Objetivo: ampliar las propuestas de quienes acceden a los créditos proveyendo “soluciones habitacionales innovadoras y asequibles: </w:t>
      </w:r>
      <w:hyperlink r:id="rId22" w:history="1">
        <w:r w:rsidRPr="007B28E2">
          <w:rPr>
            <w:rStyle w:val="Hipervnculo"/>
            <w:rFonts w:cstheme="minorBidi"/>
            <w:sz w:val="20"/>
            <w:szCs w:val="20"/>
          </w:rPr>
          <w:t>link</w:t>
        </w:r>
      </w:hyperlink>
      <w:r>
        <w:rPr>
          <w:sz w:val="20"/>
          <w:szCs w:val="20"/>
        </w:rPr>
        <w:t xml:space="preserve">.  </w:t>
      </w:r>
    </w:p>
  </w:footnote>
  <w:footnote w:id="32">
    <w:p w14:paraId="1838E6E7" w14:textId="77777777" w:rsidR="005E6206" w:rsidRDefault="005E6206" w:rsidP="00314A4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Código de Edificación CABA. Ley 6100 de 2018 y modificatoria N° 6438 de 2021: </w:t>
      </w:r>
      <w:hyperlink r:id="rId23" w:history="1">
        <w:r w:rsidRPr="007B28E2">
          <w:rPr>
            <w:rStyle w:val="Hipervnculo"/>
            <w:rFonts w:cstheme="minorBidi"/>
            <w:sz w:val="20"/>
            <w:szCs w:val="20"/>
          </w:rPr>
          <w:t>link.</w:t>
        </w:r>
      </w:hyperlink>
      <w:r>
        <w:rPr>
          <w:color w:val="000000"/>
          <w:sz w:val="20"/>
          <w:szCs w:val="20"/>
        </w:rPr>
        <w:t xml:space="preserve"> </w:t>
      </w:r>
    </w:p>
  </w:footnote>
  <w:footnote w:id="33">
    <w:p w14:paraId="59FEFAF7" w14:textId="77777777" w:rsidR="005E6206" w:rsidRDefault="005E6206" w:rsidP="00314A40">
      <w:pPr>
        <w:pBdr>
          <w:top w:val="nil"/>
          <w:left w:val="nil"/>
          <w:bottom w:val="nil"/>
          <w:right w:val="nil"/>
          <w:between w:val="nil"/>
        </w:pBdr>
        <w:spacing w:after="0" w:line="240" w:lineRule="auto"/>
        <w:jc w:val="both"/>
        <w:rPr>
          <w:color w:val="000000"/>
          <w:sz w:val="20"/>
          <w:szCs w:val="20"/>
        </w:rPr>
      </w:pPr>
      <w:r w:rsidRPr="00A16AAC">
        <w:rPr>
          <w:vertAlign w:val="superscript"/>
        </w:rPr>
        <w:footnoteRef/>
      </w:r>
      <w:r w:rsidRPr="00A16AAC">
        <w:rPr>
          <w:color w:val="000000"/>
          <w:sz w:val="20"/>
          <w:szCs w:val="20"/>
        </w:rPr>
        <w:t xml:space="preserve"> El Grito del Sur,</w:t>
      </w:r>
      <w:r w:rsidRPr="00A16AAC">
        <w:t xml:space="preserve"> </w:t>
      </w:r>
      <w:r>
        <w:t>“</w:t>
      </w:r>
      <w:hyperlink r:id="rId24" w:history="1">
        <w:r w:rsidRPr="00A16AAC">
          <w:rPr>
            <w:rStyle w:val="Hipervnculo"/>
            <w:rFonts w:cstheme="minorBidi"/>
            <w:sz w:val="20"/>
            <w:szCs w:val="20"/>
          </w:rPr>
          <w:t>El nuevo código de edificación de Larreta: discriminatorio y expulsivo</w:t>
        </w:r>
      </w:hyperlink>
      <w:r>
        <w:rPr>
          <w:color w:val="000000"/>
          <w:sz w:val="20"/>
          <w:szCs w:val="20"/>
        </w:rPr>
        <w:t>”, 19 de julio de 2021.</w:t>
      </w:r>
      <w:r>
        <w:rPr>
          <w:color w:val="000000"/>
          <w:sz w:val="20"/>
          <w:szCs w:val="20"/>
          <w:highlight w:val="yellow"/>
        </w:rPr>
        <w:t xml:space="preserve"> </w:t>
      </w:r>
      <w:r w:rsidRPr="007B28E2">
        <w:rPr>
          <w:color w:val="000000"/>
          <w:sz w:val="20"/>
          <w:szCs w:val="20"/>
          <w:highlight w:val="yellow"/>
        </w:rPr>
        <w:t xml:space="preserve"> </w:t>
      </w:r>
    </w:p>
  </w:footnote>
  <w:footnote w:id="34">
    <w:p w14:paraId="580A6640" w14:textId="733E859D" w:rsidR="005E6206" w:rsidRPr="00E66555" w:rsidRDefault="005E6206" w:rsidP="00314A40">
      <w:pPr>
        <w:pStyle w:val="Textonotapie"/>
        <w:jc w:val="both"/>
        <w:rPr>
          <w:lang w:val="es-ES"/>
        </w:rPr>
      </w:pPr>
      <w:r>
        <w:rPr>
          <w:rStyle w:val="Refdenotaalpie"/>
        </w:rPr>
        <w:footnoteRef/>
      </w:r>
      <w:r w:rsidRPr="00E66555">
        <w:rPr>
          <w:lang w:val="es-ES"/>
        </w:rPr>
        <w:t>Resolución 627/2020</w:t>
      </w:r>
      <w:r>
        <w:rPr>
          <w:lang w:val="es-ES"/>
        </w:rPr>
        <w:t xml:space="preserve"> </w:t>
      </w:r>
      <w:hyperlink r:id="rId25" w:history="1">
        <w:r w:rsidRPr="006F5DDA">
          <w:rPr>
            <w:rStyle w:val="Hipervnculo"/>
            <w:lang w:val="es-ES"/>
          </w:rPr>
          <w:t>https://www.boletinoficial.gob.ar/detalleAviso/primera/227068/20200320</w:t>
        </w:r>
      </w:hyperlink>
    </w:p>
  </w:footnote>
  <w:footnote w:id="35">
    <w:p w14:paraId="4CB63B4F" w14:textId="77C6D9E8" w:rsidR="005E6206" w:rsidRDefault="005E6206" w:rsidP="00314A40">
      <w:pPr>
        <w:pStyle w:val="Textonotapie"/>
        <w:jc w:val="both"/>
      </w:pPr>
      <w:r>
        <w:rPr>
          <w:rStyle w:val="Refdenotaalpie"/>
        </w:rPr>
        <w:footnoteRef/>
      </w:r>
      <w:r>
        <w:t xml:space="preserve"> </w:t>
      </w:r>
      <w:r w:rsidRPr="00E22C0D">
        <w:t xml:space="preserve">Muchos de los mensajes presidenciales dirigidos a difundir en la población las medidas de cuidado no contaron con medidas de accesibilidad tales como subtitulado y lengua de señas.  </w:t>
      </w:r>
    </w:p>
  </w:footnote>
  <w:footnote w:id="36">
    <w:p w14:paraId="232F131D" w14:textId="288238FC" w:rsidR="005E6206" w:rsidRPr="00B436F6" w:rsidRDefault="005E6206">
      <w:pPr>
        <w:pStyle w:val="Textonotapie"/>
      </w:pPr>
      <w:r>
        <w:rPr>
          <w:rStyle w:val="Refdenotaalpie"/>
        </w:rPr>
        <w:footnoteRef/>
      </w:r>
      <w:r>
        <w:t xml:space="preserve"> </w:t>
      </w:r>
      <w:r>
        <w:rPr>
          <w:lang w:val="es-ES"/>
        </w:rPr>
        <w:t xml:space="preserve">Resolución 965/21 </w:t>
      </w:r>
      <w:r w:rsidRPr="00B436F6">
        <w:rPr>
          <w:lang w:val="es-ES"/>
        </w:rPr>
        <w:t>http://servicios.infoleg.gob.ar/infolegInternet/verNorma.do?id=352118</w:t>
      </w:r>
    </w:p>
  </w:footnote>
  <w:footnote w:id="37">
    <w:p w14:paraId="79FBF7D2" w14:textId="6A0DD481" w:rsidR="005E6206" w:rsidRDefault="005E6206">
      <w:pPr>
        <w:pStyle w:val="Textonotapie"/>
      </w:pPr>
      <w:r>
        <w:rPr>
          <w:rStyle w:val="Refdenotaalpie"/>
        </w:rPr>
        <w:footnoteRef/>
      </w:r>
      <w:r>
        <w:t xml:space="preserve"> </w:t>
      </w:r>
      <w:r w:rsidRPr="00F63A4D">
        <w:rPr>
          <w:bCs/>
          <w:lang w:val="es-ES"/>
        </w:rPr>
        <w:t>Informe País</w:t>
      </w:r>
      <w:r>
        <w:rPr>
          <w:bCs/>
          <w:lang w:val="es-ES"/>
        </w:rPr>
        <w:t xml:space="preserve">, </w:t>
      </w:r>
      <w:r w:rsidRPr="00F63A4D">
        <w:rPr>
          <w:bCs/>
          <w:lang w:val="es-ES"/>
        </w:rPr>
        <w:t>párrafo 26</w:t>
      </w:r>
      <w:r>
        <w:rPr>
          <w:bCs/>
          <w:lang w:val="es-ES"/>
        </w:rPr>
        <w:t>.</w:t>
      </w:r>
    </w:p>
  </w:footnote>
  <w:footnote w:id="38">
    <w:p w14:paraId="0FA81AF7" w14:textId="10E860B7" w:rsidR="005E6206" w:rsidRPr="001A0951" w:rsidRDefault="005E6206" w:rsidP="00314A40">
      <w:pPr>
        <w:pStyle w:val="Textonotapie"/>
        <w:contextualSpacing/>
        <w:jc w:val="both"/>
      </w:pPr>
      <w:r w:rsidRPr="001A0951">
        <w:rPr>
          <w:rStyle w:val="Refdenotaalpie"/>
        </w:rPr>
        <w:footnoteRef/>
      </w:r>
      <w:r w:rsidRPr="001A0951">
        <w:t xml:space="preserve"> ANDIS, </w:t>
      </w:r>
      <w:hyperlink r:id="rId26" w:history="1">
        <w:r>
          <w:rPr>
            <w:rStyle w:val="Hipervnculo"/>
            <w:rFonts w:eastAsiaTheme="majorEastAsia"/>
          </w:rPr>
          <w:t>PCD</w:t>
        </w:r>
        <w:r w:rsidRPr="001A0951">
          <w:rPr>
            <w:rStyle w:val="Hipervnculo"/>
            <w:rFonts w:eastAsiaTheme="majorEastAsia"/>
          </w:rPr>
          <w:t xml:space="preserve"> con CUD confirmadas con </w:t>
        </w:r>
        <w:proofErr w:type="spellStart"/>
        <w:r w:rsidRPr="001A0951">
          <w:rPr>
            <w:rStyle w:val="Hipervnculo"/>
            <w:rFonts w:eastAsiaTheme="majorEastAsia"/>
          </w:rPr>
          <w:t>Covid</w:t>
        </w:r>
        <w:proofErr w:type="spellEnd"/>
        <w:r w:rsidRPr="001A0951">
          <w:rPr>
            <w:rStyle w:val="Hipervnculo"/>
            <w:rFonts w:eastAsiaTheme="majorEastAsia"/>
          </w:rPr>
          <w:t xml:space="preserve"> -19 al 23 de septiembre de 2020</w:t>
        </w:r>
      </w:hyperlink>
      <w:r w:rsidRPr="001A0951">
        <w:t xml:space="preserve">.  </w:t>
      </w:r>
    </w:p>
  </w:footnote>
  <w:footnote w:id="39">
    <w:p w14:paraId="3F1F405C" w14:textId="77777777" w:rsidR="005E6206" w:rsidRPr="001A0951" w:rsidRDefault="005E6206" w:rsidP="00314A40">
      <w:pPr>
        <w:pStyle w:val="Textonotapie"/>
        <w:contextualSpacing/>
        <w:jc w:val="both"/>
      </w:pPr>
      <w:r w:rsidRPr="001A0951">
        <w:rPr>
          <w:rStyle w:val="Refdenotaalpie"/>
        </w:rPr>
        <w:footnoteRef/>
      </w:r>
      <w:r w:rsidRPr="001A0951">
        <w:t xml:space="preserve"> Mientras que “el porcentaje de letalidad entre la población con discapacidad con CUD fue más alto comparado con el de la población total: 7 por ciento contra 2,2 por ciento, una diferencia considerable 4,8 puntos porcentuales”.</w:t>
      </w:r>
    </w:p>
  </w:footnote>
  <w:footnote w:id="40">
    <w:p w14:paraId="7660D224" w14:textId="7C0651C4" w:rsidR="005E6206" w:rsidRPr="003C6240" w:rsidRDefault="005E6206">
      <w:pPr>
        <w:pStyle w:val="Textonotapie"/>
      </w:pPr>
      <w:r>
        <w:rPr>
          <w:rStyle w:val="Refdenotaalpie"/>
        </w:rPr>
        <w:footnoteRef/>
      </w:r>
      <w:r>
        <w:t xml:space="preserve"> </w:t>
      </w:r>
      <w:r w:rsidRPr="003C6240">
        <w:t>https://www.boletinoficial.gob.ar/detalleAviso/primera/227042/20200320</w:t>
      </w:r>
    </w:p>
  </w:footnote>
  <w:footnote w:id="41">
    <w:p w14:paraId="479C4FCF" w14:textId="255687ED" w:rsidR="005E6206" w:rsidRPr="00D140C5" w:rsidRDefault="005E6206" w:rsidP="003F612F">
      <w:pPr>
        <w:pStyle w:val="Textonotapie"/>
        <w:jc w:val="both"/>
        <w:rPr>
          <w:lang w:val="es-ES"/>
        </w:rPr>
      </w:pPr>
      <w:r>
        <w:rPr>
          <w:rStyle w:val="Refdenotaalpie"/>
        </w:rPr>
        <w:footnoteRef/>
      </w:r>
      <w:r>
        <w:rPr>
          <w:lang w:val="es-ES"/>
        </w:rPr>
        <w:t xml:space="preserve"> Protocolo de sistemas de apoyos y cuidados para personas con discapacidad hospitalizadas por pandemia: </w:t>
      </w:r>
      <w:hyperlink r:id="rId27" w:history="1">
        <w:r w:rsidRPr="00314A40">
          <w:rPr>
            <w:rStyle w:val="Hipervnculo"/>
            <w:lang w:val="es-ES"/>
          </w:rPr>
          <w:t>link.</w:t>
        </w:r>
      </w:hyperlink>
      <w:r>
        <w:rPr>
          <w:lang w:val="es-ES"/>
        </w:rPr>
        <w:t xml:space="preserve"> </w:t>
      </w:r>
    </w:p>
  </w:footnote>
  <w:footnote w:id="42">
    <w:p w14:paraId="07B22D67" w14:textId="760D828C" w:rsidR="005E6206" w:rsidRDefault="005E6206" w:rsidP="00E22C0D">
      <w:pPr>
        <w:pStyle w:val="Textonotapie"/>
        <w:jc w:val="both"/>
      </w:pPr>
      <w:r>
        <w:rPr>
          <w:rStyle w:val="Refdenotaalpie"/>
        </w:rPr>
        <w:footnoteRef/>
      </w:r>
      <w:r>
        <w:t xml:space="preserve"> </w:t>
      </w:r>
      <w:r w:rsidRPr="00E22C0D">
        <w:t>A modo</w:t>
      </w:r>
      <w:r>
        <w:t xml:space="preserve"> </w:t>
      </w:r>
      <w:r w:rsidRPr="00E22C0D">
        <w:t>de síntesis, en la práctica judicial se registran una serie de problemas: i) ausencia de la voz de la persona ya que siguen siendo habladas por profesionales del derecho y la salud; ii) preeminencia de aspectos médicos por sobre las necesidades concretas de apoyo; iii) tratamiento de temas ajenos a la capacidad jurídica en las sentencias que la restringen, por ejemplo designan apoyos para cuestiones como la preparación de alimentos o la limpieza del hogar; iv) no se designan apoyos para actos jurídicos concretos vinculados a la vida de la persona: por ejemplo, designación de apoyos para actos de disposición patrimonial en personas en situación de pobreza; v) imposición judicial de apoyos que generalmente recaen en estructuras judiciales históricamente vinculadas con el modelo de sustitución de la voluntad como lo son las Curadurías Oficiales; vi) apoyos judiciales que obstaculizan procesos de toma de decisiones.; vii) apoyos judiciales que sustituyen la voluntad de la persona; ix) ausencia de mecanismos judiciales de salvaguardias; x) ausencia de nuevas estructuras estatales que proporcionen apoyos bajo el modelo de la CDPD.</w:t>
      </w:r>
    </w:p>
  </w:footnote>
  <w:footnote w:id="43">
    <w:p w14:paraId="1C1FCFC8" w14:textId="36AADF7E" w:rsidR="005E6206" w:rsidRPr="001A0951" w:rsidRDefault="005E6206" w:rsidP="00681AED">
      <w:pPr>
        <w:spacing w:after="0" w:line="240" w:lineRule="auto"/>
        <w:contextualSpacing/>
        <w:jc w:val="both"/>
        <w:rPr>
          <w:sz w:val="20"/>
          <w:szCs w:val="20"/>
        </w:rPr>
      </w:pPr>
      <w:r w:rsidRPr="001A0951">
        <w:rPr>
          <w:rStyle w:val="Refdenotaalpie"/>
          <w:sz w:val="20"/>
          <w:szCs w:val="20"/>
        </w:rPr>
        <w:footnoteRef/>
      </w:r>
      <w:r w:rsidRPr="001A0951">
        <w:rPr>
          <w:sz w:val="20"/>
          <w:szCs w:val="20"/>
        </w:rPr>
        <w:t xml:space="preserve"> </w:t>
      </w:r>
      <w:r w:rsidRPr="001A0951">
        <w:rPr>
          <w:rFonts w:eastAsia="Times New Roman" w:cstheme="minorHAnsi"/>
          <w:sz w:val="20"/>
          <w:szCs w:val="20"/>
          <w:lang w:val="es-AR"/>
        </w:rPr>
        <w:t>Desde la reforma del Código Civil y Comercial del año 2015, las PCD pueden ser propietarias y heredar bienes, controlar sus propios asuntos económicos y tener acceso en igualdad de condiciones a préstamos bancarios, hipotecas y otras modalidades de crédito financiero, así como también se impide que sean privadas de sus bienes de manera arbitraria. Se observa que los juzgados están concientizándose y expidiéndose de manera paulatina al juzgar y en aplicar normativa vigente local y con respecto a la Convención.</w:t>
      </w:r>
    </w:p>
  </w:footnote>
  <w:footnote w:id="44">
    <w:p w14:paraId="12E68498" w14:textId="25B047B3" w:rsidR="005E6206" w:rsidRPr="009050EB" w:rsidRDefault="005E6206" w:rsidP="00681AED">
      <w:pPr>
        <w:pStyle w:val="Textonotapie"/>
        <w:jc w:val="both"/>
        <w:rPr>
          <w:rFonts w:cstheme="minorHAnsi"/>
          <w:b/>
        </w:rPr>
      </w:pPr>
      <w:r w:rsidRPr="001A0951">
        <w:rPr>
          <w:rStyle w:val="Refdenotaalpie"/>
        </w:rPr>
        <w:footnoteRef/>
      </w:r>
      <w:r w:rsidRPr="001A0951">
        <w:t xml:space="preserve"> Por ejemplo, el artículo 60 del Código Civil y Comercial establece que solo la persona plenamente capaz puede anticipar directivas en franca contradicción con la Observación Gral. 1 de la CDPD y el artículo 61 del mismo cuerpo legal expresa que solo la </w:t>
      </w:r>
      <w:r w:rsidRPr="00287537">
        <w:t xml:space="preserve">persona plenamente capaz puede disponer de sus restos humanos una vez fallecida. </w:t>
      </w:r>
      <w:r>
        <w:t>I</w:t>
      </w:r>
      <w:r w:rsidRPr="00287537">
        <w:rPr>
          <w:rFonts w:cstheme="minorHAnsi"/>
          <w:color w:val="000000"/>
        </w:rPr>
        <w:t>nforme alternativo 2013/2017:</w:t>
      </w:r>
      <w:r>
        <w:rPr>
          <w:rFonts w:cstheme="minorHAnsi"/>
          <w:color w:val="000000"/>
        </w:rPr>
        <w:t xml:space="preserve"> </w:t>
      </w:r>
      <w:hyperlink r:id="rId28" w:history="1">
        <w:r w:rsidRPr="00C31789">
          <w:rPr>
            <w:rStyle w:val="Hipervnculo"/>
            <w:rFonts w:cstheme="minorHAnsi"/>
          </w:rPr>
          <w:t>link.</w:t>
        </w:r>
      </w:hyperlink>
      <w:r>
        <w:rPr>
          <w:rFonts w:cstheme="minorHAnsi"/>
          <w:color w:val="000000"/>
        </w:rPr>
        <w:t xml:space="preserve">  </w:t>
      </w:r>
    </w:p>
  </w:footnote>
  <w:footnote w:id="45">
    <w:p w14:paraId="5225FEAB" w14:textId="77777777" w:rsidR="005E6206" w:rsidRDefault="005E6206" w:rsidP="00681AED">
      <w:pPr>
        <w:pStyle w:val="Textonotapie"/>
        <w:jc w:val="both"/>
      </w:pPr>
      <w:r w:rsidRPr="001A0951">
        <w:rPr>
          <w:rStyle w:val="Refdenotaalpie"/>
        </w:rPr>
        <w:footnoteRef/>
      </w:r>
      <w:r w:rsidRPr="001A0951">
        <w:t xml:space="preserve"> Código Civil y Comercial, Artículo 37: </w:t>
      </w:r>
      <w:hyperlink r:id="rId29" w:history="1">
        <w:r w:rsidRPr="001A0951">
          <w:rPr>
            <w:rStyle w:val="Hipervnculo"/>
            <w:rFonts w:eastAsiaTheme="majorEastAsia"/>
          </w:rPr>
          <w:t>link</w:t>
        </w:r>
      </w:hyperlink>
      <w:r w:rsidRPr="001A0951">
        <w:t>.</w:t>
      </w:r>
      <w:r>
        <w:t xml:space="preserve"> </w:t>
      </w:r>
      <w:r w:rsidRPr="00F96A1E">
        <w:t xml:space="preserve"> </w:t>
      </w:r>
    </w:p>
  </w:footnote>
  <w:footnote w:id="46">
    <w:p w14:paraId="31559F12" w14:textId="77777777" w:rsidR="005E6206" w:rsidRDefault="005E6206" w:rsidP="00F63A4D">
      <w:pPr>
        <w:pStyle w:val="Textonotapie"/>
      </w:pPr>
      <w:r>
        <w:rPr>
          <w:rStyle w:val="Refdenotaalpie"/>
        </w:rPr>
        <w:footnoteRef/>
      </w:r>
      <w:r>
        <w:t xml:space="preserve"> </w:t>
      </w:r>
      <w:r w:rsidRPr="00F63A4D">
        <w:rPr>
          <w:lang w:val="es-ES"/>
        </w:rPr>
        <w:t>Informe País</w:t>
      </w:r>
      <w:r>
        <w:rPr>
          <w:lang w:val="es-ES"/>
        </w:rPr>
        <w:t xml:space="preserve">, </w:t>
      </w:r>
      <w:r w:rsidRPr="00F63A4D">
        <w:rPr>
          <w:lang w:val="es-ES"/>
        </w:rPr>
        <w:t>párrafo 226</w:t>
      </w:r>
      <w:r>
        <w:rPr>
          <w:lang w:val="es-ES"/>
        </w:rPr>
        <w:t>.</w:t>
      </w:r>
    </w:p>
  </w:footnote>
  <w:footnote w:id="47">
    <w:p w14:paraId="26BC1E17" w14:textId="153124BC" w:rsidR="005E6206" w:rsidRDefault="005E6206">
      <w:pPr>
        <w:pStyle w:val="Textonotapie"/>
      </w:pPr>
      <w:r>
        <w:rPr>
          <w:rStyle w:val="Refdenotaalpie"/>
        </w:rPr>
        <w:footnoteRef/>
      </w:r>
      <w:r>
        <w:t xml:space="preserve"> </w:t>
      </w:r>
      <w:r w:rsidRPr="00F63A4D">
        <w:rPr>
          <w:lang w:val="es-ES"/>
        </w:rPr>
        <w:t>Informe País</w:t>
      </w:r>
      <w:r>
        <w:rPr>
          <w:lang w:val="es-ES"/>
        </w:rPr>
        <w:t xml:space="preserve">, </w:t>
      </w:r>
      <w:r w:rsidRPr="00F63A4D">
        <w:rPr>
          <w:lang w:val="es-ES"/>
        </w:rPr>
        <w:t>párrafo 27</w:t>
      </w:r>
      <w:r>
        <w:rPr>
          <w:lang w:val="es-ES"/>
        </w:rPr>
        <w:t>.</w:t>
      </w:r>
    </w:p>
  </w:footnote>
  <w:footnote w:id="48">
    <w:p w14:paraId="00E3ED63" w14:textId="5EFC2D12" w:rsidR="005E6206" w:rsidRDefault="005E6206">
      <w:pPr>
        <w:pStyle w:val="Textonotapie"/>
      </w:pPr>
      <w:r>
        <w:rPr>
          <w:rStyle w:val="Refdenotaalpie"/>
        </w:rPr>
        <w:footnoteRef/>
      </w:r>
      <w:r>
        <w:t xml:space="preserve"> </w:t>
      </w:r>
      <w:r>
        <w:rPr>
          <w:rFonts w:cstheme="minorHAnsi"/>
        </w:rPr>
        <w:t>Ver artículo 14 CDPD debajo.</w:t>
      </w:r>
    </w:p>
  </w:footnote>
  <w:footnote w:id="49">
    <w:p w14:paraId="56A482DD" w14:textId="3E1CE92A" w:rsidR="005E6206" w:rsidRDefault="005E6206" w:rsidP="007A2F95">
      <w:pPr>
        <w:pStyle w:val="Textonotapie"/>
        <w:jc w:val="both"/>
      </w:pPr>
      <w:r>
        <w:rPr>
          <w:rStyle w:val="Refdenotaalpie"/>
        </w:rPr>
        <w:footnoteRef/>
      </w:r>
      <w:r>
        <w:t xml:space="preserve"> </w:t>
      </w:r>
      <w:r w:rsidRPr="004A47CD">
        <w:t>Por ejemplo, en el Colegio de Abogados de Morón</w:t>
      </w:r>
      <w:r>
        <w:t xml:space="preserve"> (Provincia de Buenos Aires),</w:t>
      </w:r>
      <w:r w:rsidRPr="004A47CD">
        <w:t xml:space="preserve"> se pudo implementar </w:t>
      </w:r>
      <w:r>
        <w:t xml:space="preserve">la atención por lengua de señas lo que permitió la atención con éxito de una </w:t>
      </w:r>
      <w:r w:rsidRPr="004A47CD">
        <w:t>persona</w:t>
      </w:r>
      <w:r>
        <w:t xml:space="preserve"> sorda.</w:t>
      </w:r>
    </w:p>
  </w:footnote>
  <w:footnote w:id="50">
    <w:p w14:paraId="4B9F5C2A" w14:textId="474EBF40" w:rsidR="005E6206" w:rsidRDefault="005E6206" w:rsidP="007A2F95">
      <w:pPr>
        <w:pStyle w:val="Textonotapie"/>
        <w:jc w:val="both"/>
      </w:pPr>
      <w:r>
        <w:rPr>
          <w:rStyle w:val="Refdenotaalpie"/>
        </w:rPr>
        <w:footnoteRef/>
      </w:r>
      <w:r>
        <w:t xml:space="preserve"> Ello </w:t>
      </w:r>
      <w:r w:rsidRPr="007A2F95">
        <w:t>en consonancia con los artículos 12 y 13, ni los estándares establecidos por el Comité en su Observación General Nº 1, en las Directrices sobre el artículo 14 y en el caso Medina Vela Vs México.</w:t>
      </w:r>
    </w:p>
  </w:footnote>
  <w:footnote w:id="51">
    <w:p w14:paraId="003D302E" w14:textId="3A038336" w:rsidR="005E6206" w:rsidRDefault="005E6206" w:rsidP="00E413A2">
      <w:pPr>
        <w:pStyle w:val="Textonotapie"/>
        <w:jc w:val="both"/>
      </w:pPr>
      <w:r>
        <w:rPr>
          <w:rStyle w:val="Refdenotaalpie"/>
        </w:rPr>
        <w:footnoteRef/>
      </w:r>
      <w:r>
        <w:t xml:space="preserve"> </w:t>
      </w:r>
      <w:r w:rsidRPr="003F612F">
        <w:rPr>
          <w:rFonts w:cstheme="minorHAnsi"/>
          <w:color w:val="000000"/>
          <w:lang w:eastAsia="en-GB"/>
        </w:rPr>
        <w:t xml:space="preserve">A modo de ejemplo, el Código Procesal Penal de la Provincia de Buenos Aires </w:t>
      </w:r>
      <w:r>
        <w:rPr>
          <w:rFonts w:cstheme="minorHAnsi"/>
          <w:color w:val="000000"/>
          <w:lang w:eastAsia="en-GB"/>
        </w:rPr>
        <w:t>en su artículo</w:t>
      </w:r>
      <w:r w:rsidRPr="00170555">
        <w:t xml:space="preserve"> 62 expresa que “Si se presumiere que el imputado, en el momento del hecho, padecía de alguna enfermedad mental que lo hiciera inimputable, podrá disponerse provisionalmente su internación en un establecimiento especial, si su estado lo tornare peligroso para sí o para terceros”.</w:t>
      </w:r>
      <w:r>
        <w:rPr>
          <w:rFonts w:cstheme="minorHAnsi"/>
          <w:color w:val="000000"/>
          <w:lang w:eastAsia="en-GB"/>
        </w:rPr>
        <w:t xml:space="preserve"> En ese sentido, prevé</w:t>
      </w:r>
      <w:r w:rsidRPr="003F612F">
        <w:rPr>
          <w:rFonts w:cstheme="minorHAnsi"/>
          <w:color w:val="000000"/>
          <w:lang w:eastAsia="en-GB"/>
        </w:rPr>
        <w:t xml:space="preserve"> la internación provisoria, es decir antes de la declaración de inimputabilidad</w:t>
      </w:r>
      <w:r>
        <w:rPr>
          <w:rFonts w:cstheme="minorHAnsi"/>
          <w:color w:val="000000"/>
          <w:lang w:eastAsia="en-GB"/>
        </w:rPr>
        <w:t xml:space="preserve">, </w:t>
      </w:r>
      <w:r w:rsidRPr="003F612F">
        <w:rPr>
          <w:rFonts w:cstheme="minorHAnsi"/>
          <w:color w:val="000000"/>
          <w:lang w:eastAsia="en-GB"/>
        </w:rPr>
        <w:t>fundada en criterio de peligrosidad en clara contraposición al respeto de las garantías relativas al debido proceso</w:t>
      </w:r>
      <w:r>
        <w:t>.</w:t>
      </w:r>
    </w:p>
  </w:footnote>
  <w:footnote w:id="52">
    <w:p w14:paraId="466E0AA9" w14:textId="6A9A8C66" w:rsidR="005E6206" w:rsidRDefault="005E6206" w:rsidP="00E413A2">
      <w:pPr>
        <w:pStyle w:val="Textonotapie"/>
        <w:jc w:val="both"/>
      </w:pPr>
      <w:r>
        <w:rPr>
          <w:rStyle w:val="Refdenotaalpie"/>
        </w:rPr>
        <w:footnoteRef/>
      </w:r>
      <w:r>
        <w:t xml:space="preserve"> </w:t>
      </w:r>
      <w:r w:rsidRPr="007A5FCB">
        <w:t xml:space="preserve"> Por ejemplo, el art. 63 del </w:t>
      </w:r>
      <w:hyperlink r:id="rId30" w:history="1">
        <w:r w:rsidRPr="007A5FCB">
          <w:rPr>
            <w:rStyle w:val="Hipervnculo"/>
            <w:rFonts w:eastAsiaTheme="majorEastAsia"/>
          </w:rPr>
          <w:t>Código Procesal Penal de la Provincia de Buenos Aires</w:t>
        </w:r>
      </w:hyperlink>
      <w:r w:rsidRPr="007A5FCB">
        <w:t xml:space="preserve"> dispone que “Si durante el proceso sobreviniere la incapacidad mental del imputado, se suspenderá la tramitación de la causa y, si su estado lo tornare peligroso para sí o para terceros, se ordenará su internación en un establecimiento adecuado”</w:t>
      </w:r>
      <w:r>
        <w:t>. S</w:t>
      </w:r>
      <w:r w:rsidRPr="007A5FCB">
        <w:t xml:space="preserve">imilar redacción puede advertirse en el art. 81 del </w:t>
      </w:r>
      <w:hyperlink r:id="rId31" w:history="1">
        <w:r w:rsidRPr="007A5FCB">
          <w:rPr>
            <w:rStyle w:val="Hipervnculo"/>
            <w:rFonts w:eastAsiaTheme="majorEastAsia"/>
          </w:rPr>
          <w:t>Código Procesal Penal de la Provincia de La Pampa</w:t>
        </w:r>
      </w:hyperlink>
      <w:r>
        <w:t xml:space="preserve"> y</w:t>
      </w:r>
      <w:r w:rsidRPr="007A5FCB">
        <w:t xml:space="preserve"> en el art. 95 del </w:t>
      </w:r>
      <w:hyperlink r:id="rId32" w:history="1">
        <w:r w:rsidRPr="007A5FCB">
          <w:rPr>
            <w:rStyle w:val="Hipervnculo"/>
            <w:rFonts w:eastAsiaTheme="majorEastAsia"/>
          </w:rPr>
          <w:t>Código Procesal Penal de Salta</w:t>
        </w:r>
      </w:hyperlink>
      <w:r>
        <w:t xml:space="preserve">. </w:t>
      </w:r>
    </w:p>
  </w:footnote>
  <w:footnote w:id="53">
    <w:p w14:paraId="304FE39E" w14:textId="77777777" w:rsidR="005E6206" w:rsidRDefault="005E6206" w:rsidP="00FD6533">
      <w:pPr>
        <w:pStyle w:val="Textonotapie"/>
        <w:jc w:val="both"/>
      </w:pPr>
      <w:r>
        <w:rPr>
          <w:rStyle w:val="Refdenotaalpie"/>
        </w:rPr>
        <w:footnoteRef/>
      </w:r>
      <w:r>
        <w:t xml:space="preserve"> </w:t>
      </w:r>
      <w:r w:rsidRPr="00D42377">
        <w:t xml:space="preserve">Además del resonante caso del cantante </w:t>
      </w:r>
      <w:proofErr w:type="spellStart"/>
      <w:r w:rsidRPr="00D42377">
        <w:t>Chano</w:t>
      </w:r>
      <w:proofErr w:type="spellEnd"/>
      <w:r w:rsidRPr="00D42377">
        <w:t xml:space="preserve"> </w:t>
      </w:r>
      <w:proofErr w:type="spellStart"/>
      <w:r w:rsidRPr="00D42377">
        <w:t>Charpentier</w:t>
      </w:r>
      <w:proofErr w:type="spellEnd"/>
      <w:r w:rsidRPr="00D42377">
        <w:t>, se conocen los casos de fallecimientos de Matías Ruiz en Salta, Victoria Núñez en Paraná y María de los Ángeles Paris en Rosario. Todos ellos involucraron la actuación de la policía ante episodios de crisis</w:t>
      </w:r>
      <w:r>
        <w:t xml:space="preserve">: Cosecha Roja, </w:t>
      </w:r>
      <w:hyperlink r:id="rId33" w:history="1">
        <w:r w:rsidRPr="008857C3">
          <w:rPr>
            <w:rStyle w:val="Hipervnculo"/>
            <w:rFonts w:eastAsiaTheme="majorEastAsia"/>
          </w:rPr>
          <w:t xml:space="preserve">“Tan </w:t>
        </w:r>
        <w:proofErr w:type="spellStart"/>
        <w:r w:rsidRPr="008857C3">
          <w:rPr>
            <w:rStyle w:val="Hipervnculo"/>
            <w:rFonts w:eastAsiaTheme="majorEastAsia"/>
          </w:rPr>
          <w:t>biónicos</w:t>
        </w:r>
        <w:proofErr w:type="spellEnd"/>
        <w:r w:rsidRPr="008857C3">
          <w:rPr>
            <w:rStyle w:val="Hipervnculo"/>
            <w:rFonts w:eastAsiaTheme="majorEastAsia"/>
          </w:rPr>
          <w:t>: cómo actúa la Policía en casos de salud mental”,</w:t>
        </w:r>
      </w:hyperlink>
      <w:r>
        <w:t xml:space="preserve"> 26 de julio 2021.</w:t>
      </w:r>
    </w:p>
  </w:footnote>
  <w:footnote w:id="54">
    <w:p w14:paraId="07B5600B" w14:textId="476C0C2B" w:rsidR="005E6206" w:rsidRDefault="005E6206" w:rsidP="00FD6533">
      <w:pPr>
        <w:pStyle w:val="Textonotapie"/>
        <w:jc w:val="both"/>
      </w:pPr>
      <w:r>
        <w:rPr>
          <w:rStyle w:val="Refdenotaalpie"/>
        </w:rPr>
        <w:footnoteRef/>
      </w:r>
      <w:r>
        <w:t xml:space="preserve"> Noticias en medios locales sobre el caso de Ezequiel Castro: </w:t>
      </w:r>
      <w:hyperlink r:id="rId34" w:history="1">
        <w:r w:rsidRPr="008148E4">
          <w:rPr>
            <w:rStyle w:val="Hipervnculo"/>
            <w:rFonts w:eastAsiaTheme="majorEastAsia"/>
          </w:rPr>
          <w:t>https://www.lavoz.com.ar/sucesos/ezequiel-castro-otra-muerte-tras-una-detencion-policial-que-investiga-la-justicia-de-cordoba/</w:t>
        </w:r>
      </w:hyperlink>
      <w:r>
        <w:t xml:space="preserve"> y </w:t>
      </w:r>
      <w:hyperlink r:id="rId35" w:history="1">
        <w:r w:rsidRPr="008148E4">
          <w:rPr>
            <w:rStyle w:val="Hipervnculo"/>
            <w:rFonts w:eastAsiaTheme="majorEastAsia"/>
          </w:rPr>
          <w:t>https://latinta.com.ar/2022/07/violencia-policial-salud-mental/</w:t>
        </w:r>
      </w:hyperlink>
    </w:p>
  </w:footnote>
  <w:footnote w:id="55">
    <w:p w14:paraId="069BC6D9" w14:textId="1846F18A" w:rsidR="005E6206" w:rsidRDefault="005E6206" w:rsidP="00E413A2">
      <w:pPr>
        <w:pStyle w:val="Textonotapie"/>
      </w:pPr>
      <w:r>
        <w:rPr>
          <w:rStyle w:val="Refdenotaalpie"/>
        </w:rPr>
        <w:footnoteRef/>
      </w:r>
      <w:r>
        <w:t xml:space="preserve"> </w:t>
      </w:r>
      <w:r w:rsidRPr="008857C3">
        <w:rPr>
          <w:lang w:val="es-ES"/>
        </w:rPr>
        <w:t>Ministerio de Seguridad de la Nación</w:t>
      </w:r>
      <w:r>
        <w:rPr>
          <w:lang w:val="es-ES"/>
        </w:rPr>
        <w:t>,</w:t>
      </w:r>
      <w:r w:rsidRPr="008857C3">
        <w:rPr>
          <w:lang w:val="es-ES"/>
        </w:rPr>
        <w:t> </w:t>
      </w:r>
      <w:r w:rsidRPr="002A63B0">
        <w:rPr>
          <w:rFonts w:eastAsiaTheme="majorEastAsia"/>
        </w:rPr>
        <w:t>Resolución 506/2013</w:t>
      </w:r>
      <w:r>
        <w:rPr>
          <w:lang w:val="es-ES"/>
        </w:rPr>
        <w:t>:</w:t>
      </w:r>
      <w:hyperlink r:id="rId36" w:history="1">
        <w:r w:rsidRPr="002A63B0">
          <w:rPr>
            <w:rStyle w:val="Hipervnculo"/>
            <w:lang w:val="es-ES"/>
          </w:rPr>
          <w:t xml:space="preserve"> link</w:t>
        </w:r>
      </w:hyperlink>
      <w:r>
        <w:rPr>
          <w:lang w:val="es-ES"/>
        </w:rPr>
        <w:t xml:space="preserve">. </w:t>
      </w:r>
    </w:p>
  </w:footnote>
  <w:footnote w:id="56">
    <w:p w14:paraId="19DA7837" w14:textId="54380338" w:rsidR="005E6206" w:rsidRDefault="005E6206" w:rsidP="00A5363A">
      <w:pPr>
        <w:pStyle w:val="Textonotapie"/>
        <w:jc w:val="both"/>
      </w:pPr>
      <w:r>
        <w:rPr>
          <w:rStyle w:val="Refdenotaalpie"/>
        </w:rPr>
        <w:footnoteRef/>
      </w:r>
      <w:r>
        <w:t xml:space="preserve"> Se</w:t>
      </w:r>
      <w:r w:rsidRPr="00A5363A">
        <w:t xml:space="preserve"> informó que se trató de “</w:t>
      </w:r>
      <w:r w:rsidRPr="00672E92">
        <w:rPr>
          <w:i/>
          <w:iCs/>
        </w:rPr>
        <w:t>neurocirugías funcionales para trastornos de agresividad refractarias al tratamiento farmacológico y no farmacológico en pacientes con Retardo Mental Severo /Grave (…) se ha realizado en dos pacientes. Se trata del paciente N° 1, hombre de 28 años y la paciente N°2, mujer de 46 años, ambos con diagnóstico de retraso mental profundo asociado a severo trastorno de la conducta. Las mismas son de carácter disruptivas y de auto</w:t>
      </w:r>
      <w:r>
        <w:rPr>
          <w:i/>
          <w:iCs/>
        </w:rPr>
        <w:t>flagelación</w:t>
      </w:r>
      <w:r w:rsidRPr="00672E92">
        <w:rPr>
          <w:i/>
          <w:iCs/>
        </w:rPr>
        <w:t xml:space="preserve"> (Se muerden y golpean su cabeza contra la pared) y </w:t>
      </w:r>
      <w:proofErr w:type="spellStart"/>
      <w:r w:rsidRPr="00672E92">
        <w:rPr>
          <w:i/>
          <w:iCs/>
        </w:rPr>
        <w:t>heteroagresividad</w:t>
      </w:r>
      <w:proofErr w:type="spellEnd"/>
      <w:r w:rsidRPr="00672E92">
        <w:rPr>
          <w:i/>
          <w:iCs/>
        </w:rPr>
        <w:t xml:space="preserve"> (Provocando fracturas y generando lesiones graves a terceros). Se indicaron terapias conductuales y </w:t>
      </w:r>
      <w:proofErr w:type="spellStart"/>
      <w:r w:rsidRPr="00672E92">
        <w:rPr>
          <w:i/>
          <w:iCs/>
        </w:rPr>
        <w:t>polifarmacoterapia</w:t>
      </w:r>
      <w:proofErr w:type="spellEnd"/>
      <w:r w:rsidRPr="00672E92">
        <w:rPr>
          <w:i/>
          <w:iCs/>
        </w:rPr>
        <w:t xml:space="preserve"> cuyo resultado fue francamente ineficaz”.</w:t>
      </w:r>
    </w:p>
  </w:footnote>
  <w:footnote w:id="57">
    <w:p w14:paraId="4A7720E1" w14:textId="77777777" w:rsidR="005E6206" w:rsidRDefault="005E6206" w:rsidP="00E413A2">
      <w:pPr>
        <w:pStyle w:val="Textonotapie"/>
        <w:jc w:val="both"/>
      </w:pPr>
      <w:r>
        <w:rPr>
          <w:rStyle w:val="Refdenotaalpie"/>
        </w:rPr>
        <w:footnoteRef/>
      </w:r>
      <w:r>
        <w:t xml:space="preserve"> Respuesta recibida respecto al consentimiento informado: </w:t>
      </w:r>
      <w:r w:rsidRPr="009E3863">
        <w:rPr>
          <w:i/>
          <w:iCs/>
        </w:rPr>
        <w:t>“Atento la situación de ambos pacientes, respecto de los cuales se determinó restricción de la capacidad, se dio intervención en ambos casos a sus representantes legales, a quienes se les brindó información clara, precisa y adecuada con respecto al tratamiento propuesto, conforme lo previsto por el artículo 5º de la Ley 26.529. En el caso de la paciente N°2, la sentencia que decretó la restricción de su capacidad determinó un sistema de apoyo y salvaguarda para el desempeño de sus actividades, incluyendo específicamente el contexto médico…En cumplimiento de lo dispuesto precedente dicho representante legal, suscribió el pertinente consentimiento informado…En el caso del paciente N°1, la sentencia que resolvió la restricción de su capacidad...designando como curador al Titular de la Curaduría Departamental. En cumplimiento de lo dispuesto precedentemente dicho representante legal, suscribió el pertinente consentimiento informado. La información se brindó a sus representantes legales, sistemas de apoyo, y en la medida de lo posible, a los mismos paciente</w:t>
      </w:r>
      <w:r>
        <w:rPr>
          <w:i/>
          <w:iCs/>
        </w:rPr>
        <w:t xml:space="preserve">s. </w:t>
      </w:r>
      <w:r w:rsidRPr="009E3863">
        <w:rPr>
          <w:i/>
          <w:iCs/>
        </w:rPr>
        <w:t>Conforme lo estipulado por el artículo N.º 7 de la normativa arriba mencionada para este tipo de práctica médica, se instrumentó el pertinente consentimiento informado por escrito, suscripto tanto por sus representantes legales, sistema de apoyo, y profesional que brindó la información</w:t>
      </w:r>
      <w:r w:rsidRPr="009E3863">
        <w:t>”</w:t>
      </w:r>
    </w:p>
  </w:footnote>
  <w:footnote w:id="58">
    <w:p w14:paraId="573521FE" w14:textId="77777777" w:rsidR="005E6206" w:rsidRDefault="005E6206" w:rsidP="00E413A2">
      <w:pPr>
        <w:pStyle w:val="Textonotapie"/>
      </w:pPr>
      <w:r>
        <w:rPr>
          <w:rStyle w:val="Refdenotaalpie"/>
        </w:rPr>
        <w:footnoteRef/>
      </w:r>
      <w:r>
        <w:t xml:space="preserve"> </w:t>
      </w:r>
      <w:r w:rsidRPr="002127E5">
        <w:t>Órgano de Revisión Nacional de Salud Mental</w:t>
      </w:r>
      <w:r>
        <w:t xml:space="preserve">, </w:t>
      </w:r>
      <w:hyperlink r:id="rId37" w:history="1">
        <w:r w:rsidRPr="002127E5">
          <w:rPr>
            <w:rStyle w:val="Hipervnculo"/>
            <w:rFonts w:eastAsiaTheme="majorEastAsia"/>
          </w:rPr>
          <w:t>Resolución 07/2022 – Psicocirugía</w:t>
        </w:r>
      </w:hyperlink>
      <w:r>
        <w:t xml:space="preserve">, 11 de octubre de 2021. </w:t>
      </w:r>
    </w:p>
  </w:footnote>
  <w:footnote w:id="59">
    <w:p w14:paraId="5C68B4D1" w14:textId="39404F3E" w:rsidR="005E6206" w:rsidRDefault="005E6206" w:rsidP="00E413A2">
      <w:pPr>
        <w:pStyle w:val="Textonotapie"/>
      </w:pPr>
      <w:r>
        <w:rPr>
          <w:rStyle w:val="Refdenotaalpie"/>
        </w:rPr>
        <w:footnoteRef/>
      </w:r>
      <w:r>
        <w:t xml:space="preserve"> </w:t>
      </w:r>
      <w:r w:rsidRPr="00663915">
        <w:t>Disponible en</w:t>
      </w:r>
      <w:r>
        <w:t xml:space="preserve">: </w:t>
      </w:r>
      <w:hyperlink r:id="rId38" w:history="1">
        <w:r w:rsidRPr="00672E92">
          <w:rPr>
            <w:rStyle w:val="Hipervnculo"/>
          </w:rPr>
          <w:t>link</w:t>
        </w:r>
      </w:hyperlink>
      <w:r>
        <w:t xml:space="preserve">. </w:t>
      </w:r>
    </w:p>
  </w:footnote>
  <w:footnote w:id="60">
    <w:p w14:paraId="2DDACC88" w14:textId="238099B5" w:rsidR="005E6206" w:rsidRDefault="005E6206" w:rsidP="00E232A5">
      <w:pPr>
        <w:pStyle w:val="Textonotapie"/>
        <w:jc w:val="both"/>
      </w:pPr>
      <w:r>
        <w:rPr>
          <w:rStyle w:val="Refdenotaalpie"/>
        </w:rPr>
        <w:footnoteRef/>
      </w:r>
      <w:r>
        <w:t xml:space="preserve"> </w:t>
      </w:r>
      <w:r w:rsidRPr="00E232A5">
        <w:rPr>
          <w:iCs/>
          <w:lang w:val="es-ES"/>
        </w:rPr>
        <w:t>Existen escasas casas de convivencia o de medio camino para personas egresadas del monovalente público. Mientras tanto, persisten las internaciones en hospitales monovalentes, donde hay personas usuarias con más de 8 años de internación sin tener una vivienda digna.</w:t>
      </w:r>
    </w:p>
  </w:footnote>
  <w:footnote w:id="61">
    <w:p w14:paraId="37EDA951" w14:textId="77777777" w:rsidR="005E6206" w:rsidRDefault="005E6206" w:rsidP="00E232A5">
      <w:pPr>
        <w:pStyle w:val="Textonotapie"/>
        <w:jc w:val="both"/>
      </w:pPr>
      <w:r>
        <w:rPr>
          <w:rStyle w:val="Refdenotaalpie"/>
        </w:rPr>
        <w:footnoteRef/>
      </w:r>
      <w:r>
        <w:t xml:space="preserve"> </w:t>
      </w:r>
      <w:r w:rsidRPr="00663915">
        <w:t>Cámara en lo Contencioso Administrativo Federal, Sala V, “</w:t>
      </w:r>
      <w:proofErr w:type="spellStart"/>
      <w:r w:rsidRPr="00663915">
        <w:t>Scaturro</w:t>
      </w:r>
      <w:proofErr w:type="spellEnd"/>
      <w:r w:rsidRPr="00663915">
        <w:t xml:space="preserve">, Andrea Fabiana y Otros c/ EN-M Salud de la Nación y Otros s/Amparo Ley 16.986”, </w:t>
      </w:r>
      <w:proofErr w:type="spellStart"/>
      <w:r w:rsidRPr="00663915">
        <w:t>Expte</w:t>
      </w:r>
      <w:proofErr w:type="spellEnd"/>
      <w:r w:rsidRPr="00663915">
        <w:t>. 74516/2014, 2015.</w:t>
      </w:r>
    </w:p>
  </w:footnote>
  <w:footnote w:id="62">
    <w:p w14:paraId="11437F95" w14:textId="0775ACD2" w:rsidR="005E6206" w:rsidRPr="00E232A5" w:rsidRDefault="005E6206" w:rsidP="00E232A5">
      <w:pPr>
        <w:pStyle w:val="Textonotapie"/>
      </w:pPr>
      <w:r>
        <w:rPr>
          <w:rStyle w:val="Refdenotaalpie"/>
        </w:rPr>
        <w:footnoteRef/>
      </w:r>
      <w:r>
        <w:t xml:space="preserve"> El </w:t>
      </w:r>
      <w:r w:rsidRPr="00E232A5">
        <w:t>Ministerio Público de la Defensa presentó recientemente el caso ante este Comité.</w:t>
      </w:r>
    </w:p>
    <w:p w14:paraId="630AED46" w14:textId="658225E2" w:rsidR="005E6206" w:rsidRDefault="005E6206">
      <w:pPr>
        <w:pStyle w:val="Textonotapie"/>
      </w:pPr>
    </w:p>
  </w:footnote>
  <w:footnote w:id="63">
    <w:p w14:paraId="15F8FFF5" w14:textId="77777777" w:rsidR="005E6206" w:rsidRDefault="005E6206" w:rsidP="003F612F">
      <w:pPr>
        <w:pStyle w:val="Textonotapie"/>
        <w:contextualSpacing/>
        <w:jc w:val="both"/>
      </w:pPr>
      <w:r w:rsidRPr="00A32E97">
        <w:rPr>
          <w:rStyle w:val="Refdenotaalpie"/>
          <w:rFonts w:cstheme="minorHAnsi"/>
        </w:rPr>
        <w:footnoteRef/>
      </w:r>
      <w:r>
        <w:rPr>
          <w:rFonts w:cstheme="minorHAnsi"/>
        </w:rPr>
        <w:t xml:space="preserve"> ACIJ, Presupuesto para la salud mental: </w:t>
      </w:r>
      <w:hyperlink r:id="rId39" w:history="1">
        <w:r w:rsidRPr="00943BC2">
          <w:rPr>
            <w:rStyle w:val="Hipervnculo"/>
            <w:rFonts w:cstheme="minorHAnsi"/>
          </w:rPr>
          <w:t>link.</w:t>
        </w:r>
      </w:hyperlink>
      <w:r>
        <w:rPr>
          <w:rFonts w:cstheme="minorHAnsi"/>
        </w:rPr>
        <w:t xml:space="preserve"> </w:t>
      </w:r>
    </w:p>
  </w:footnote>
  <w:footnote w:id="64">
    <w:p w14:paraId="2920FF38" w14:textId="4EE69F8E" w:rsidR="005E6206" w:rsidRPr="00D3760C" w:rsidRDefault="005E6206" w:rsidP="003F612F">
      <w:pPr>
        <w:pStyle w:val="Textonotapie"/>
        <w:jc w:val="both"/>
        <w:rPr>
          <w:lang w:val="es-ES"/>
        </w:rPr>
      </w:pPr>
      <w:r>
        <w:rPr>
          <w:rStyle w:val="Refdenotaalpie"/>
        </w:rPr>
        <w:footnoteRef/>
      </w:r>
      <w:r>
        <w:rPr>
          <w:lang w:val="es-ES"/>
        </w:rPr>
        <w:t xml:space="preserve"> Página 12, </w:t>
      </w:r>
      <w:hyperlink r:id="rId40" w:history="1">
        <w:r w:rsidRPr="001513A6">
          <w:rPr>
            <w:rStyle w:val="Hipervnculo"/>
            <w:lang w:val="es-ES"/>
          </w:rPr>
          <w:t>“Le rechazaron el alquiler de un departamento por ser ciega: "Es un acto de discriminación".</w:t>
        </w:r>
      </w:hyperlink>
      <w:r>
        <w:rPr>
          <w:lang w:val="es-ES"/>
        </w:rPr>
        <w:t xml:space="preserve">  </w:t>
      </w:r>
    </w:p>
  </w:footnote>
  <w:footnote w:id="65">
    <w:p w14:paraId="6A57B9DA" w14:textId="71FF163F" w:rsidR="005E6206" w:rsidRPr="00AC6149" w:rsidRDefault="005E6206" w:rsidP="003F612F">
      <w:pPr>
        <w:pStyle w:val="Textonotapie"/>
        <w:jc w:val="both"/>
        <w:rPr>
          <w:lang w:val="es-ES"/>
        </w:rPr>
      </w:pPr>
      <w:r>
        <w:rPr>
          <w:rStyle w:val="Refdenotaalpie"/>
        </w:rPr>
        <w:footnoteRef/>
      </w:r>
      <w:r>
        <w:t xml:space="preserve"> </w:t>
      </w:r>
      <w:r w:rsidRPr="000E5BEE">
        <w:rPr>
          <w:rFonts w:cstheme="minorHAnsi"/>
        </w:rPr>
        <w:t>La Ley 24.901 que regula las prestaciones asistenciales para brindar cobertura de los requerimientos básicos esenciales de la PCD, prevé la asistencia domiciliaria a fin de favorecer la vida autónoma de la PCD, evitar su institucionalización o acortar los tiempos de internación. Sin embargo, observamos que debe ser revisado el requisito de inexistencia de grupo familiar o que éste no se encuentre en capacidad de atender al cuidado y asistencia de la PCD. Condicionar las prestaciones sociales en general y la asistencia en especial a la falta de recursos económicos, impide a la gran mayoría de PCD acceder a un dispositivo que sea de apoyo a su vida diaria y promueva su autonomía</w:t>
      </w:r>
      <w:r>
        <w:rPr>
          <w:rFonts w:cstheme="minorHAnsi"/>
        </w:rPr>
        <w:t>.</w:t>
      </w:r>
    </w:p>
  </w:footnote>
  <w:footnote w:id="66">
    <w:p w14:paraId="37ABBBB9" w14:textId="77777777" w:rsidR="005E6206" w:rsidRDefault="005E6206" w:rsidP="003F612F">
      <w:pPr>
        <w:pStyle w:val="Textonotapie"/>
        <w:jc w:val="both"/>
      </w:pPr>
      <w:r>
        <w:rPr>
          <w:rStyle w:val="Refdenotaalpie"/>
        </w:rPr>
        <w:footnoteRef/>
      </w:r>
      <w:r>
        <w:t xml:space="preserve"> </w:t>
      </w:r>
      <w:r>
        <w:rPr>
          <w:rFonts w:cstheme="minorHAnsi"/>
        </w:rPr>
        <w:t xml:space="preserve">Proyecto D 157- 22/23. </w:t>
      </w:r>
      <w:r>
        <w:t xml:space="preserve">El proyecto </w:t>
      </w:r>
      <w:proofErr w:type="spellStart"/>
      <w:r>
        <w:t>aun</w:t>
      </w:r>
      <w:proofErr w:type="spellEnd"/>
      <w:r>
        <w:t xml:space="preserve"> no fue tratado ni por el 50% de las Comisiones que le fueron asignadas antes de poder llegar a ser tratada en el recinto, a pesar de la fuerte incidencia realizada de las organizaciones de alcance nacional y regional. Se realizaron visitas presenciales de las personas usuarias, pedidos de entrevistas no atendidos en los últimos 4 años, envío de correos electrónicos, petición en Change.com con más de 34.000 firmas, campañas en las redes y en los medios, entre otras estrategias.</w:t>
      </w:r>
    </w:p>
  </w:footnote>
  <w:footnote w:id="67">
    <w:p w14:paraId="524D8AF6" w14:textId="77777777" w:rsidR="005E6206" w:rsidRDefault="005E6206" w:rsidP="003F612F">
      <w:pPr>
        <w:pStyle w:val="Textonotapie"/>
        <w:jc w:val="both"/>
      </w:pPr>
      <w:r>
        <w:rPr>
          <w:rStyle w:val="Refdenotaalpie"/>
        </w:rPr>
        <w:footnoteRef/>
      </w:r>
      <w:r>
        <w:t xml:space="preserve"> Juzgado de Primera Instancia no 4 en lo Contencioso Administrativo de La Plata, sentencia "Asociación Azul c/ IOMA y otro/a s/ pretensión de restablecimiento o reconocimiento de derechos”: </w:t>
      </w:r>
      <w:hyperlink r:id="rId41" w:history="1">
        <w:r>
          <w:rPr>
            <w:rStyle w:val="Hipervnculo"/>
            <w:rFonts w:eastAsiaTheme="majorEastAsia"/>
          </w:rPr>
          <w:t>link.</w:t>
        </w:r>
      </w:hyperlink>
      <w:r>
        <w:t xml:space="preserve">  Resumen de la sentencia en lenguaje claro: </w:t>
      </w:r>
      <w:hyperlink r:id="rId42" w:history="1">
        <w:r>
          <w:rPr>
            <w:rStyle w:val="Hipervnculo"/>
            <w:rFonts w:eastAsiaTheme="majorEastAsia"/>
          </w:rPr>
          <w:t>link.</w:t>
        </w:r>
      </w:hyperlink>
      <w:r>
        <w:t xml:space="preserve"> </w:t>
      </w:r>
    </w:p>
  </w:footnote>
  <w:footnote w:id="68">
    <w:p w14:paraId="081B2FD7" w14:textId="3E3624A5" w:rsidR="005E6206" w:rsidRDefault="005E6206">
      <w:pPr>
        <w:pStyle w:val="Textonotapie"/>
      </w:pPr>
      <w:r>
        <w:rPr>
          <w:rStyle w:val="Refdenotaalpie"/>
        </w:rPr>
        <w:footnoteRef/>
      </w:r>
      <w:r>
        <w:t xml:space="preserve"> </w:t>
      </w:r>
      <w:r w:rsidRPr="009B6DA9">
        <w:rPr>
          <w:lang w:val="es-ES"/>
        </w:rPr>
        <w:t>Informe País</w:t>
      </w:r>
      <w:r>
        <w:rPr>
          <w:lang w:val="es-ES"/>
        </w:rPr>
        <w:t xml:space="preserve">, </w:t>
      </w:r>
      <w:r w:rsidRPr="009B6DA9">
        <w:rPr>
          <w:lang w:val="es-ES"/>
        </w:rPr>
        <w:t>párrafo 21</w:t>
      </w:r>
      <w:r>
        <w:rPr>
          <w:lang w:val="es-ES"/>
        </w:rPr>
        <w:t>.</w:t>
      </w:r>
    </w:p>
  </w:footnote>
  <w:footnote w:id="69">
    <w:p w14:paraId="7347504B" w14:textId="77777777" w:rsidR="005E6206" w:rsidRDefault="005E6206" w:rsidP="00012615">
      <w:pPr>
        <w:pStyle w:val="Textonotapie"/>
        <w:jc w:val="both"/>
      </w:pPr>
      <w:r>
        <w:rPr>
          <w:rStyle w:val="Refdenotaalpie"/>
        </w:rPr>
        <w:footnoteRef/>
      </w:r>
      <w:r>
        <w:t xml:space="preserve"> Fundación Rumbos</w:t>
      </w:r>
      <w:hyperlink r:id="rId43" w:history="1">
        <w:r w:rsidRPr="00370603">
          <w:rPr>
            <w:rStyle w:val="Hipervnculo"/>
            <w:rFonts w:eastAsiaTheme="majorEastAsia"/>
          </w:rPr>
          <w:t>, Nota de pedido de Acceso a la Información Pública dirigidas a ANDIS con relación al CAC y respuesta de la ANDIS</w:t>
        </w:r>
      </w:hyperlink>
      <w:r>
        <w:t>.</w:t>
      </w:r>
    </w:p>
  </w:footnote>
  <w:footnote w:id="70">
    <w:p w14:paraId="1AA70631" w14:textId="0F529F46" w:rsidR="005E6206" w:rsidRDefault="005E6206">
      <w:pPr>
        <w:pStyle w:val="Textonotapie"/>
      </w:pPr>
      <w:r>
        <w:rPr>
          <w:rStyle w:val="Refdenotaalpie"/>
        </w:rPr>
        <w:footnoteRef/>
      </w:r>
      <w:r>
        <w:t xml:space="preserve"> </w:t>
      </w:r>
      <w:r w:rsidRPr="009B6DA9">
        <w:rPr>
          <w:lang w:val="es-ES"/>
        </w:rPr>
        <w:t>Informe País</w:t>
      </w:r>
      <w:r>
        <w:rPr>
          <w:lang w:val="es-ES"/>
        </w:rPr>
        <w:t xml:space="preserve">, </w:t>
      </w:r>
      <w:r w:rsidRPr="009B6DA9">
        <w:rPr>
          <w:lang w:val="es-ES"/>
        </w:rPr>
        <w:t>párrafo 139</w:t>
      </w:r>
      <w:r>
        <w:rPr>
          <w:lang w:val="es-ES"/>
        </w:rPr>
        <w:t>.</w:t>
      </w:r>
    </w:p>
  </w:footnote>
  <w:footnote w:id="71">
    <w:p w14:paraId="5F7D9F79" w14:textId="54B6DE7D" w:rsidR="005E6206" w:rsidRPr="006E294E" w:rsidRDefault="005E6206" w:rsidP="00E413A2">
      <w:pPr>
        <w:pStyle w:val="Textonotapie"/>
        <w:jc w:val="both"/>
      </w:pPr>
      <w:r w:rsidRPr="006E294E">
        <w:rPr>
          <w:rStyle w:val="Refdenotaalpie"/>
        </w:rPr>
        <w:footnoteRef/>
      </w:r>
      <w:r w:rsidRPr="006E294E">
        <w:t xml:space="preserve"> Cámara de Apelación en lo Contencioso Administrativo, </w:t>
      </w:r>
      <w:hyperlink r:id="rId44" w:history="1">
        <w:r w:rsidRPr="006E294E">
          <w:rPr>
            <w:rStyle w:val="Hipervnculo"/>
            <w:rFonts w:eastAsiaTheme="majorEastAsia"/>
          </w:rPr>
          <w:t>sentencia causa No. 23.800 CCALP “ASOCIACION AZUL Y OTRO S/AMPARO</w:t>
        </w:r>
      </w:hyperlink>
      <w:r w:rsidRPr="006E294E">
        <w:t>”, 14 de mayo de 2019.  Entre lo resuelto se</w:t>
      </w:r>
      <w:r w:rsidRPr="006E294E">
        <w:rPr>
          <w:rFonts w:cstheme="minorHAnsi"/>
          <w:color w:val="000000"/>
        </w:rPr>
        <w:t xml:space="preserve"> sostuvo que “</w:t>
      </w:r>
      <w:r w:rsidRPr="006E294E">
        <w:rPr>
          <w:rFonts w:cstheme="minorHAnsi"/>
          <w:i/>
          <w:iCs/>
          <w:color w:val="000000"/>
        </w:rPr>
        <w:t>pese a contar la provincia con un marco jurídico adecuado, las continuas prórrogas a la obligación de adecuar las unidades decretadas por la Subsecretaría de Transporte impiden el pleno goce de los derechos por parte del grupo vulnerable afectado</w:t>
      </w:r>
      <w:r w:rsidRPr="006E294E">
        <w:rPr>
          <w:rFonts w:cstheme="minorHAnsi"/>
          <w:color w:val="000000"/>
        </w:rPr>
        <w:t>”</w:t>
      </w:r>
    </w:p>
  </w:footnote>
  <w:footnote w:id="72">
    <w:p w14:paraId="46259BE5" w14:textId="6B8E50D3" w:rsidR="005E6206" w:rsidRPr="00CB0E43" w:rsidRDefault="005E6206">
      <w:pPr>
        <w:pStyle w:val="Textonotapie"/>
      </w:pPr>
      <w:r w:rsidRPr="00312266">
        <w:rPr>
          <w:rStyle w:val="Refdenotaalpie"/>
        </w:rPr>
        <w:footnoteRef/>
      </w:r>
      <w:r w:rsidRPr="00312266">
        <w:t xml:space="preserve"> </w:t>
      </w:r>
      <w:hyperlink r:id="rId45" w:history="1">
        <w:r w:rsidRPr="00DA7961">
          <w:rPr>
            <w:rStyle w:val="Hipervnculo"/>
          </w:rPr>
          <w:t>https://drive.google.com/drive/folders/1NQLREYmdn0_8H4lsUehjhVJo1zsNFHrn</w:t>
        </w:r>
      </w:hyperlink>
    </w:p>
  </w:footnote>
  <w:footnote w:id="73">
    <w:p w14:paraId="013C35AB" w14:textId="0AF7A6A2" w:rsidR="005E6206" w:rsidRDefault="005E6206" w:rsidP="005E006D">
      <w:pPr>
        <w:pStyle w:val="Textonotapie"/>
        <w:jc w:val="both"/>
      </w:pPr>
      <w:r>
        <w:rPr>
          <w:rStyle w:val="Refdenotaalpie"/>
        </w:rPr>
        <w:footnoteRef/>
      </w:r>
      <w:r>
        <w:t xml:space="preserve"> La ley prevé recursos de accesibilidad t</w:t>
      </w:r>
      <w:r w:rsidRPr="005E006D">
        <w:t xml:space="preserve">ales como: i) </w:t>
      </w:r>
      <w:proofErr w:type="spellStart"/>
      <w:r w:rsidRPr="005E006D">
        <w:t>audiodescripción</w:t>
      </w:r>
      <w:proofErr w:type="spellEnd"/>
      <w:r w:rsidRPr="005E006D">
        <w:t xml:space="preserve"> de imágenes para </w:t>
      </w:r>
      <w:r>
        <w:t>PCD</w:t>
      </w:r>
      <w:r w:rsidRPr="005E006D">
        <w:t xml:space="preserve"> visual; ii) subtitulado oculto e interpretación en lengua de señas para personas sordas; y iii) </w:t>
      </w:r>
      <w:proofErr w:type="spellStart"/>
      <w:r w:rsidRPr="005E006D">
        <w:t>audiodescripción</w:t>
      </w:r>
      <w:proofErr w:type="spellEnd"/>
      <w:r w:rsidRPr="005E006D">
        <w:t xml:space="preserve"> en lenguaje sencillo para </w:t>
      </w:r>
      <w:r>
        <w:t>PCD</w:t>
      </w:r>
      <w:r w:rsidRPr="005E006D">
        <w:t xml:space="preserve"> intelectual</w:t>
      </w:r>
    </w:p>
  </w:footnote>
  <w:footnote w:id="74">
    <w:p w14:paraId="640B4ABC" w14:textId="763B8DA3" w:rsidR="005E6206" w:rsidRDefault="005E6206">
      <w:pPr>
        <w:pStyle w:val="Textonotapie"/>
      </w:pPr>
      <w:r>
        <w:rPr>
          <w:rStyle w:val="Refdenotaalpie"/>
        </w:rPr>
        <w:footnoteRef/>
      </w:r>
      <w:r>
        <w:t xml:space="preserve"> </w:t>
      </w:r>
      <w:r>
        <w:rPr>
          <w:lang w:val="es-ES"/>
        </w:rPr>
        <w:t>En clara contraposición a lo mencionado en el párrafo 53 del I</w:t>
      </w:r>
      <w:r w:rsidRPr="00AA68F0">
        <w:rPr>
          <w:lang w:val="es-ES"/>
        </w:rPr>
        <w:t>nforme País</w:t>
      </w:r>
      <w:r>
        <w:rPr>
          <w:lang w:val="es-ES"/>
        </w:rPr>
        <w:t xml:space="preserve">. </w:t>
      </w:r>
    </w:p>
  </w:footnote>
  <w:footnote w:id="75">
    <w:p w14:paraId="5C8D46CE" w14:textId="6F91AB6A" w:rsidR="005E6206" w:rsidRDefault="005E6206">
      <w:pPr>
        <w:pStyle w:val="Textonotapie"/>
      </w:pPr>
      <w:r>
        <w:rPr>
          <w:rStyle w:val="Refdenotaalpie"/>
        </w:rPr>
        <w:footnoteRef/>
      </w:r>
      <w:r>
        <w:t xml:space="preserve"> </w:t>
      </w:r>
      <w:r>
        <w:rPr>
          <w:lang w:val="es-ES"/>
        </w:rPr>
        <w:t xml:space="preserve">A </w:t>
      </w:r>
      <w:r w:rsidRPr="00AA68F0">
        <w:rPr>
          <w:lang w:val="es-ES"/>
        </w:rPr>
        <w:t>pesar de que el Informe País (párrafo 230) mencione lo contrario</w:t>
      </w:r>
      <w:r>
        <w:rPr>
          <w:lang w:val="es-ES"/>
        </w:rPr>
        <w:t>.</w:t>
      </w:r>
    </w:p>
  </w:footnote>
  <w:footnote w:id="76">
    <w:p w14:paraId="3378EEB1" w14:textId="19D6C39C" w:rsidR="005E6206" w:rsidRDefault="005E6206" w:rsidP="00810F4E">
      <w:pPr>
        <w:pStyle w:val="Textonotapie"/>
        <w:jc w:val="both"/>
      </w:pPr>
      <w:r>
        <w:rPr>
          <w:rStyle w:val="Refdenotaalpie"/>
        </w:rPr>
        <w:footnoteRef/>
      </w:r>
      <w:r>
        <w:t xml:space="preserve"> Respuestas del Banco Central y la Casa de la Moneda: </w:t>
      </w:r>
      <w:hyperlink r:id="rId46" w:history="1">
        <w:r w:rsidRPr="00875160">
          <w:rPr>
            <w:rStyle w:val="Hipervnculo"/>
          </w:rPr>
          <w:t>link.</w:t>
        </w:r>
      </w:hyperlink>
      <w:r>
        <w:t xml:space="preserve"> </w:t>
      </w:r>
    </w:p>
  </w:footnote>
  <w:footnote w:id="77">
    <w:p w14:paraId="0473777D" w14:textId="07BD7243" w:rsidR="005E6206" w:rsidRPr="005A11C5" w:rsidRDefault="005E6206" w:rsidP="00810F4E">
      <w:pPr>
        <w:pStyle w:val="Textonotapie"/>
        <w:jc w:val="both"/>
      </w:pPr>
      <w:r>
        <w:rPr>
          <w:rStyle w:val="Refdenotaalpie"/>
        </w:rPr>
        <w:footnoteRef/>
      </w:r>
      <w:r>
        <w:t xml:space="preserve"> Normativa de Protección a Usuarios de Servicios Financieros. Sección 2. </w:t>
      </w:r>
      <w:hyperlink r:id="rId47" w:history="1">
        <w:r w:rsidRPr="008E7FD5">
          <w:rPr>
            <w:rStyle w:val="Hipervnculo"/>
          </w:rPr>
          <w:t>https://www.bcra.gob.ar/Pdfs/Texord/t-pusf.pdf</w:t>
        </w:r>
      </w:hyperlink>
    </w:p>
  </w:footnote>
  <w:footnote w:id="78">
    <w:p w14:paraId="55813CB2" w14:textId="7577902A" w:rsidR="005E6206" w:rsidRPr="00CE28F7" w:rsidRDefault="005E6206">
      <w:pPr>
        <w:pStyle w:val="Textonotapie"/>
      </w:pPr>
      <w:r>
        <w:rPr>
          <w:rStyle w:val="Refdenotaalpie"/>
        </w:rPr>
        <w:footnoteRef/>
      </w:r>
      <w:r>
        <w:t xml:space="preserve"> </w:t>
      </w:r>
      <w:r>
        <w:rPr>
          <w:lang w:val="es-ES"/>
        </w:rPr>
        <w:t xml:space="preserve">Ley 26.061 </w:t>
      </w:r>
    </w:p>
  </w:footnote>
  <w:footnote w:id="79">
    <w:p w14:paraId="715BD379" w14:textId="77777777" w:rsidR="005E6206" w:rsidRPr="00DB4559" w:rsidRDefault="005E6206" w:rsidP="003F612F">
      <w:pPr>
        <w:pStyle w:val="Textonotapie"/>
        <w:jc w:val="both"/>
      </w:pPr>
      <w:r w:rsidRPr="00DB4559">
        <w:rPr>
          <w:rStyle w:val="Refdenotaalpie"/>
        </w:rPr>
        <w:footnoteRef/>
      </w:r>
      <w:r w:rsidRPr="00DB4559">
        <w:t xml:space="preserve"> Infofueguina.com, </w:t>
      </w:r>
      <w:hyperlink r:id="rId48" w:history="1">
        <w:r w:rsidRPr="00DB4559">
          <w:rPr>
            <w:rStyle w:val="Hipervnculo"/>
            <w:rFonts w:eastAsiaTheme="majorEastAsia"/>
          </w:rPr>
          <w:t xml:space="preserve">“Le quitaron </w:t>
        </w:r>
        <w:proofErr w:type="spellStart"/>
        <w:r w:rsidRPr="00DB4559">
          <w:rPr>
            <w:rStyle w:val="Hipervnculo"/>
            <w:rFonts w:eastAsiaTheme="majorEastAsia"/>
          </w:rPr>
          <w:t>el</w:t>
        </w:r>
        <w:proofErr w:type="spellEnd"/>
        <w:r w:rsidRPr="00DB4559">
          <w:rPr>
            <w:rStyle w:val="Hipervnculo"/>
            <w:rFonts w:eastAsiaTheme="majorEastAsia"/>
          </w:rPr>
          <w:t xml:space="preserve"> bebe a joven con retraso madurativo”,</w:t>
        </w:r>
      </w:hyperlink>
      <w:r w:rsidRPr="00DB4559">
        <w:t xml:space="preserve"> 20 de julio de 2019. </w:t>
      </w:r>
    </w:p>
  </w:footnote>
  <w:footnote w:id="80">
    <w:p w14:paraId="4CD82105" w14:textId="57F9DCF6" w:rsidR="005E6206" w:rsidRPr="00DB4559" w:rsidRDefault="005E6206" w:rsidP="003F612F">
      <w:pPr>
        <w:pStyle w:val="Textonotapie"/>
        <w:jc w:val="both"/>
      </w:pPr>
      <w:r w:rsidRPr="00DB4559">
        <w:rPr>
          <w:rStyle w:val="Refdenotaalpie"/>
        </w:rPr>
        <w:footnoteRef/>
      </w:r>
      <w:r w:rsidRPr="00DB4559">
        <w:t xml:space="preserve"> El Diario de La Pampa, “</w:t>
      </w:r>
      <w:hyperlink r:id="rId49" w:history="1">
        <w:r w:rsidRPr="00DB4559">
          <w:rPr>
            <w:rStyle w:val="Hipervnculo"/>
            <w:rFonts w:eastAsiaTheme="majorEastAsia"/>
          </w:rPr>
          <w:t>Una mujer con discapacidad, separada de su hijo hace más de 2 meses: lo alojaron en un hotel</w:t>
        </w:r>
      </w:hyperlink>
      <w:r w:rsidRPr="00DB4559">
        <w:t xml:space="preserve">”, 6 de abril de 2022. </w:t>
      </w:r>
    </w:p>
  </w:footnote>
  <w:footnote w:id="81">
    <w:p w14:paraId="1ADD21DD" w14:textId="2887DC20" w:rsidR="005E6206" w:rsidRDefault="005E6206" w:rsidP="003F612F">
      <w:pPr>
        <w:pStyle w:val="Textonotapie"/>
        <w:jc w:val="both"/>
      </w:pPr>
      <w:r w:rsidRPr="00DB4559">
        <w:rPr>
          <w:rStyle w:val="Refdenotaalpie"/>
        </w:rPr>
        <w:footnoteRef/>
      </w:r>
      <w:r w:rsidRPr="00DB4559">
        <w:t xml:space="preserve"> </w:t>
      </w:r>
      <w:r>
        <w:t>C</w:t>
      </w:r>
      <w:r w:rsidRPr="00DB4559">
        <w:t xml:space="preserve">omo son la Asignación Universal por Hijo/Hija y la Asignación por Embarazo para Protección social; el Apoyo Alimentario y la estrategia Sueño Seguro (o Plan </w:t>
      </w:r>
      <w:proofErr w:type="spellStart"/>
      <w:r w:rsidRPr="00DB4559">
        <w:t>Qunita</w:t>
      </w:r>
      <w:proofErr w:type="spellEnd"/>
      <w:r w:rsidRPr="00DB4559">
        <w:t>)</w:t>
      </w:r>
      <w:r>
        <w:t xml:space="preserve">. </w:t>
      </w:r>
    </w:p>
  </w:footnote>
  <w:footnote w:id="82">
    <w:p w14:paraId="745BEFB3" w14:textId="77777777" w:rsidR="005E6206" w:rsidRPr="00663915" w:rsidRDefault="005E6206" w:rsidP="009A0194">
      <w:pPr>
        <w:spacing w:after="0" w:line="240" w:lineRule="auto"/>
        <w:contextualSpacing/>
        <w:jc w:val="both"/>
        <w:rPr>
          <w:rFonts w:eastAsia="Chivo" w:cstheme="minorHAnsi"/>
          <w:sz w:val="20"/>
          <w:szCs w:val="20"/>
        </w:rPr>
      </w:pPr>
      <w:r>
        <w:rPr>
          <w:vertAlign w:val="superscript"/>
        </w:rPr>
        <w:footnoteRef/>
      </w:r>
      <w:r>
        <w:rPr>
          <w:rFonts w:ascii="Chivo" w:eastAsia="Chivo" w:hAnsi="Chivo" w:cs="Chivo"/>
          <w:sz w:val="18"/>
          <w:szCs w:val="18"/>
        </w:rPr>
        <w:t xml:space="preserve"> </w:t>
      </w:r>
      <w:proofErr w:type="spellStart"/>
      <w:r w:rsidRPr="00663915">
        <w:rPr>
          <w:rFonts w:eastAsia="Chivo" w:cstheme="minorHAnsi"/>
          <w:sz w:val="20"/>
          <w:szCs w:val="20"/>
        </w:rPr>
        <w:t>Barcala</w:t>
      </w:r>
      <w:proofErr w:type="spellEnd"/>
      <w:r w:rsidRPr="00663915">
        <w:rPr>
          <w:rFonts w:eastAsia="Chivo" w:cstheme="minorHAnsi"/>
          <w:sz w:val="20"/>
          <w:szCs w:val="20"/>
        </w:rPr>
        <w:t xml:space="preserve">, A. (2018). “Niñez e Institucionalización psiquiátrica: violencias en contextos de encierro. Salud Mental, políticas públicas y derechos humanos”, en P. </w:t>
      </w:r>
      <w:proofErr w:type="spellStart"/>
      <w:r w:rsidRPr="00663915">
        <w:rPr>
          <w:rFonts w:eastAsia="Chivo" w:cstheme="minorHAnsi"/>
          <w:sz w:val="20"/>
          <w:szCs w:val="20"/>
        </w:rPr>
        <w:t>Vommaro</w:t>
      </w:r>
      <w:proofErr w:type="spellEnd"/>
      <w:r w:rsidRPr="00663915">
        <w:rPr>
          <w:rFonts w:eastAsia="Chivo" w:cstheme="minorHAnsi"/>
          <w:sz w:val="20"/>
          <w:szCs w:val="20"/>
        </w:rPr>
        <w:t xml:space="preserve">, A. </w:t>
      </w:r>
      <w:proofErr w:type="spellStart"/>
      <w:r w:rsidRPr="00663915">
        <w:rPr>
          <w:rFonts w:eastAsia="Chivo" w:cstheme="minorHAnsi"/>
          <w:sz w:val="20"/>
          <w:szCs w:val="20"/>
        </w:rPr>
        <w:t>Barcala</w:t>
      </w:r>
      <w:proofErr w:type="spellEnd"/>
      <w:r w:rsidRPr="00663915">
        <w:rPr>
          <w:rFonts w:eastAsia="Chivo" w:cstheme="minorHAnsi"/>
          <w:sz w:val="20"/>
          <w:szCs w:val="20"/>
        </w:rPr>
        <w:t xml:space="preserve"> y L. Rangel, </w:t>
      </w:r>
      <w:r w:rsidRPr="00663915">
        <w:rPr>
          <w:rFonts w:eastAsia="Chivo" w:cstheme="minorHAnsi"/>
          <w:i/>
          <w:sz w:val="20"/>
          <w:szCs w:val="20"/>
        </w:rPr>
        <w:t>Infancias y juventudes: diversidades, prácticas y perspectivas en derechos y políticas</w:t>
      </w:r>
      <w:r w:rsidRPr="00663915">
        <w:rPr>
          <w:rFonts w:eastAsia="Chivo" w:cstheme="minorHAnsi"/>
          <w:sz w:val="20"/>
          <w:szCs w:val="20"/>
        </w:rPr>
        <w:t xml:space="preserve">. Buenos Aires: CLACSO; Bogotá: Fundación Centro Internacional de Educación y Desarrollo Humano CINDE; Manizales: Universidad de Manizales: </w:t>
      </w:r>
      <w:hyperlink r:id="rId50" w:history="1">
        <w:r w:rsidRPr="00437B8E">
          <w:rPr>
            <w:rStyle w:val="Hipervnculo"/>
            <w:rFonts w:eastAsia="Chivo" w:cstheme="minorHAnsi"/>
            <w:sz w:val="20"/>
            <w:szCs w:val="20"/>
          </w:rPr>
          <w:t>link.</w:t>
        </w:r>
      </w:hyperlink>
    </w:p>
  </w:footnote>
  <w:footnote w:id="83">
    <w:p w14:paraId="0607A868" w14:textId="77777777" w:rsidR="005E6206" w:rsidRPr="00663915" w:rsidRDefault="005E6206" w:rsidP="009A0194">
      <w:pPr>
        <w:spacing w:after="0" w:line="240" w:lineRule="auto"/>
        <w:contextualSpacing/>
        <w:jc w:val="both"/>
        <w:rPr>
          <w:rFonts w:eastAsia="Chivo" w:cstheme="minorHAnsi"/>
          <w:sz w:val="20"/>
          <w:szCs w:val="20"/>
        </w:rPr>
      </w:pPr>
      <w:r w:rsidRPr="00663915">
        <w:rPr>
          <w:rFonts w:cstheme="minorHAnsi"/>
          <w:sz w:val="20"/>
          <w:szCs w:val="20"/>
          <w:vertAlign w:val="superscript"/>
        </w:rPr>
        <w:footnoteRef/>
      </w:r>
      <w:r w:rsidRPr="00663915">
        <w:rPr>
          <w:rFonts w:eastAsia="Chivo" w:cstheme="minorHAnsi"/>
          <w:sz w:val="20"/>
          <w:szCs w:val="20"/>
        </w:rPr>
        <w:t xml:space="preserve"> </w:t>
      </w:r>
      <w:proofErr w:type="spellStart"/>
      <w:r w:rsidRPr="00663915">
        <w:rPr>
          <w:rFonts w:eastAsia="Chivo" w:cstheme="minorHAnsi"/>
          <w:sz w:val="20"/>
          <w:szCs w:val="20"/>
        </w:rPr>
        <w:t>Barcala</w:t>
      </w:r>
      <w:proofErr w:type="spellEnd"/>
      <w:r w:rsidRPr="00663915">
        <w:rPr>
          <w:rFonts w:eastAsia="Chivo" w:cstheme="minorHAnsi"/>
          <w:sz w:val="20"/>
          <w:szCs w:val="20"/>
        </w:rPr>
        <w:t xml:space="preserve"> A., y </w:t>
      </w:r>
      <w:proofErr w:type="spellStart"/>
      <w:r w:rsidRPr="00663915">
        <w:rPr>
          <w:rFonts w:eastAsia="Chivo" w:cstheme="minorHAnsi"/>
          <w:sz w:val="20"/>
          <w:szCs w:val="20"/>
        </w:rPr>
        <w:t>Faraone</w:t>
      </w:r>
      <w:proofErr w:type="spellEnd"/>
      <w:r w:rsidRPr="00663915">
        <w:rPr>
          <w:rFonts w:eastAsia="Chivo" w:cstheme="minorHAnsi"/>
          <w:sz w:val="20"/>
          <w:szCs w:val="20"/>
        </w:rPr>
        <w:t xml:space="preserve"> S. (2020). </w:t>
      </w:r>
      <w:r w:rsidRPr="00663915">
        <w:rPr>
          <w:rFonts w:eastAsia="Chivo" w:cstheme="minorHAnsi"/>
          <w:i/>
          <w:sz w:val="20"/>
          <w:szCs w:val="20"/>
        </w:rPr>
        <w:t>A diez años de la sanción de la Ley Nacional de Salud Mental: coordenadas para una cartografía posible</w:t>
      </w:r>
      <w:r w:rsidRPr="00663915">
        <w:rPr>
          <w:rFonts w:eastAsia="Chivo" w:cstheme="minorHAnsi"/>
          <w:sz w:val="20"/>
          <w:szCs w:val="20"/>
        </w:rPr>
        <w:t xml:space="preserve"> (1ra ed.), Ciudad Autónoma de Buenos Aires: Teseo</w:t>
      </w:r>
      <w:r>
        <w:rPr>
          <w:rFonts w:eastAsia="Chivo" w:cstheme="minorHAnsi"/>
          <w:sz w:val="20"/>
          <w:szCs w:val="20"/>
        </w:rPr>
        <w:t xml:space="preserve">: </w:t>
      </w:r>
      <w:hyperlink r:id="rId51" w:history="1">
        <w:r w:rsidRPr="00437B8E">
          <w:rPr>
            <w:rStyle w:val="Hipervnculo"/>
            <w:rFonts w:eastAsia="Chivo" w:cstheme="minorHAnsi"/>
            <w:sz w:val="20"/>
            <w:szCs w:val="20"/>
          </w:rPr>
          <w:t>link.</w:t>
        </w:r>
      </w:hyperlink>
      <w:r>
        <w:rPr>
          <w:rFonts w:eastAsia="Chivo" w:cstheme="minorHAnsi"/>
          <w:sz w:val="20"/>
          <w:szCs w:val="20"/>
        </w:rPr>
        <w:t xml:space="preserve"> </w:t>
      </w:r>
      <w:r w:rsidRPr="00663915">
        <w:rPr>
          <w:rFonts w:eastAsia="Chivo" w:cstheme="minorHAnsi"/>
          <w:sz w:val="20"/>
          <w:szCs w:val="20"/>
        </w:rPr>
        <w:t xml:space="preserve"> </w:t>
      </w:r>
    </w:p>
  </w:footnote>
  <w:footnote w:id="84">
    <w:p w14:paraId="6ED4535A" w14:textId="77777777" w:rsidR="005E6206" w:rsidRPr="00663915" w:rsidRDefault="005E6206" w:rsidP="009A0194">
      <w:pPr>
        <w:spacing w:after="0" w:line="240" w:lineRule="auto"/>
        <w:contextualSpacing/>
        <w:jc w:val="both"/>
        <w:rPr>
          <w:rFonts w:eastAsia="Chivo" w:cstheme="minorHAnsi"/>
          <w:sz w:val="20"/>
          <w:szCs w:val="20"/>
        </w:rPr>
      </w:pPr>
      <w:r w:rsidRPr="00663915">
        <w:rPr>
          <w:rFonts w:cstheme="minorHAnsi"/>
          <w:sz w:val="20"/>
          <w:szCs w:val="20"/>
          <w:vertAlign w:val="superscript"/>
        </w:rPr>
        <w:footnoteRef/>
      </w:r>
      <w:r w:rsidRPr="00663915">
        <w:rPr>
          <w:rFonts w:eastAsia="Chivo" w:cstheme="minorHAnsi"/>
          <w:sz w:val="20"/>
          <w:szCs w:val="20"/>
        </w:rPr>
        <w:t xml:space="preserve"> El Órgano de Revisión Nacional de Salud Mental es una entidad creada por la ley 26.657 en el ámbito del Ministerio Público de la Defensa, para promover su cumplimiento y para proteger los derechos de las personas usuarias de los servicios de salud mental. </w:t>
      </w:r>
    </w:p>
  </w:footnote>
  <w:footnote w:id="85">
    <w:p w14:paraId="628E9F07" w14:textId="77777777" w:rsidR="005E6206" w:rsidRPr="00A32E97" w:rsidRDefault="005E6206" w:rsidP="009A0194">
      <w:pPr>
        <w:spacing w:after="0" w:line="240" w:lineRule="auto"/>
        <w:contextualSpacing/>
        <w:jc w:val="both"/>
        <w:rPr>
          <w:rFonts w:eastAsia="Chivo" w:cstheme="minorHAnsi"/>
          <w:sz w:val="20"/>
          <w:szCs w:val="20"/>
        </w:rPr>
      </w:pPr>
      <w:r w:rsidRPr="00A32E97">
        <w:rPr>
          <w:rFonts w:cstheme="minorHAnsi"/>
          <w:sz w:val="20"/>
          <w:szCs w:val="20"/>
          <w:vertAlign w:val="superscript"/>
        </w:rPr>
        <w:footnoteRef/>
      </w:r>
      <w:r w:rsidRPr="00A32E97">
        <w:rPr>
          <w:rFonts w:eastAsia="Chivo" w:cstheme="minorHAnsi"/>
          <w:sz w:val="20"/>
          <w:szCs w:val="20"/>
        </w:rPr>
        <w:t xml:space="preserve">  Órgano de Revisión Nacional, Informe de gestión anual 2018</w:t>
      </w:r>
      <w:r>
        <w:rPr>
          <w:rFonts w:eastAsia="Chivo" w:cstheme="minorHAnsi"/>
          <w:sz w:val="20"/>
          <w:szCs w:val="20"/>
        </w:rPr>
        <w:t xml:space="preserve">: </w:t>
      </w:r>
      <w:hyperlink r:id="rId52" w:history="1">
        <w:r w:rsidRPr="00437B8E">
          <w:rPr>
            <w:rStyle w:val="Hipervnculo"/>
            <w:rFonts w:eastAsia="Chivo" w:cstheme="minorHAnsi"/>
            <w:sz w:val="20"/>
            <w:szCs w:val="20"/>
          </w:rPr>
          <w:t>link.</w:t>
        </w:r>
      </w:hyperlink>
      <w:r>
        <w:rPr>
          <w:rFonts w:eastAsia="Chivo" w:cstheme="minorHAnsi"/>
          <w:sz w:val="20"/>
          <w:szCs w:val="20"/>
        </w:rPr>
        <w:t xml:space="preserve">; </w:t>
      </w:r>
      <w:r w:rsidRPr="00A32E97">
        <w:rPr>
          <w:rFonts w:eastAsia="Chivo" w:cstheme="minorHAnsi"/>
          <w:sz w:val="20"/>
          <w:szCs w:val="20"/>
        </w:rPr>
        <w:t>Informe de gestión anual 2019:</w:t>
      </w:r>
      <w:r>
        <w:rPr>
          <w:rFonts w:eastAsia="Chivo" w:cstheme="minorHAnsi"/>
          <w:sz w:val="20"/>
          <w:szCs w:val="20"/>
        </w:rPr>
        <w:t xml:space="preserve"> </w:t>
      </w:r>
      <w:hyperlink r:id="rId53" w:history="1">
        <w:r w:rsidRPr="00437B8E">
          <w:rPr>
            <w:rStyle w:val="Hipervnculo"/>
            <w:rFonts w:eastAsia="Chivo" w:cstheme="minorHAnsi"/>
            <w:sz w:val="20"/>
            <w:szCs w:val="20"/>
          </w:rPr>
          <w:t xml:space="preserve">link </w:t>
        </w:r>
      </w:hyperlink>
      <w:r w:rsidRPr="00A32E97">
        <w:rPr>
          <w:rFonts w:eastAsia="Chivo" w:cstheme="minorHAnsi"/>
          <w:sz w:val="20"/>
          <w:szCs w:val="20"/>
        </w:rPr>
        <w:t xml:space="preserve"> y Resolución 2/20 de aprobación del documento: "A diez años de la Ley Nacional de Salud Mental: posicionamiento del Órgano de Revisión Nacional de Salud Mental":</w:t>
      </w:r>
      <w:r>
        <w:rPr>
          <w:rFonts w:eastAsia="Chivo" w:cstheme="minorHAnsi"/>
          <w:sz w:val="20"/>
          <w:szCs w:val="20"/>
        </w:rPr>
        <w:t xml:space="preserve"> </w:t>
      </w:r>
      <w:hyperlink r:id="rId54" w:history="1">
        <w:r w:rsidRPr="00437B8E">
          <w:rPr>
            <w:rStyle w:val="Hipervnculo"/>
            <w:rFonts w:eastAsia="Chivo" w:cstheme="minorHAnsi"/>
            <w:sz w:val="20"/>
            <w:szCs w:val="20"/>
          </w:rPr>
          <w:t>link</w:t>
        </w:r>
      </w:hyperlink>
      <w:r>
        <w:rPr>
          <w:rFonts w:eastAsia="Chivo" w:cstheme="minorHAnsi"/>
          <w:sz w:val="20"/>
          <w:szCs w:val="20"/>
        </w:rPr>
        <w:t xml:space="preserve">. </w:t>
      </w:r>
      <w:r w:rsidRPr="00A32E97">
        <w:rPr>
          <w:rFonts w:eastAsia="Chivo" w:cstheme="minorHAnsi"/>
          <w:sz w:val="20"/>
          <w:szCs w:val="20"/>
        </w:rPr>
        <w:t xml:space="preserve"> </w:t>
      </w:r>
    </w:p>
  </w:footnote>
  <w:footnote w:id="86">
    <w:p w14:paraId="5291C067" w14:textId="7EAD63C3" w:rsidR="005E6206" w:rsidRPr="006A7713" w:rsidRDefault="005E6206">
      <w:pPr>
        <w:pStyle w:val="Textonotapie"/>
      </w:pPr>
      <w:r>
        <w:rPr>
          <w:rStyle w:val="Refdenotaalpie"/>
        </w:rPr>
        <w:footnoteRef/>
      </w:r>
      <w:r>
        <w:t xml:space="preserve"> </w:t>
      </w:r>
      <w:r w:rsidRPr="005712CD">
        <w:t>https://www.telam.com.ar/notas/202206/597140-justicia-ciudad-de-buenos-aires-gobierno-porteno--educacion-inclusiva-discapacidad.html</w:t>
      </w:r>
    </w:p>
  </w:footnote>
  <w:footnote w:id="87">
    <w:p w14:paraId="68DBE7A6" w14:textId="78517CF2" w:rsidR="005E6206" w:rsidRPr="004C5E67" w:rsidRDefault="005E6206" w:rsidP="003952A0">
      <w:pPr>
        <w:spacing w:after="0" w:line="240" w:lineRule="auto"/>
        <w:contextualSpacing/>
        <w:jc w:val="both"/>
        <w:rPr>
          <w:rFonts w:ascii="Chivo" w:eastAsia="Chivo" w:hAnsi="Chivo" w:cs="Chivo"/>
          <w:sz w:val="20"/>
          <w:szCs w:val="20"/>
        </w:rPr>
      </w:pPr>
      <w:r>
        <w:rPr>
          <w:vertAlign w:val="superscript"/>
        </w:rPr>
        <w:footnoteRef/>
      </w:r>
      <w:r>
        <w:rPr>
          <w:rFonts w:ascii="Chivo" w:eastAsia="Chivo" w:hAnsi="Chivo" w:cs="Chivo"/>
          <w:sz w:val="16"/>
          <w:szCs w:val="16"/>
        </w:rPr>
        <w:t xml:space="preserve"> </w:t>
      </w:r>
      <w:r w:rsidRPr="004C5E67">
        <w:rPr>
          <w:rFonts w:ascii="Chivo" w:eastAsia="Chivo" w:hAnsi="Chivo" w:cs="Chivo"/>
          <w:sz w:val="20"/>
          <w:szCs w:val="20"/>
        </w:rPr>
        <w:t xml:space="preserve">Anuario estadístico educativo 2021: </w:t>
      </w:r>
      <w:hyperlink r:id="rId55" w:history="1">
        <w:r w:rsidRPr="004C5E67">
          <w:rPr>
            <w:rStyle w:val="Hipervnculo"/>
            <w:rFonts w:ascii="Chivo" w:eastAsia="Chivo" w:hAnsi="Chivo" w:cs="Chivo"/>
            <w:sz w:val="20"/>
            <w:szCs w:val="20"/>
          </w:rPr>
          <w:t xml:space="preserve">link. </w:t>
        </w:r>
      </w:hyperlink>
      <w:r w:rsidRPr="004C5E67">
        <w:rPr>
          <w:rFonts w:ascii="Chivo" w:eastAsia="Chivo" w:hAnsi="Chivo" w:cs="Chivo"/>
          <w:sz w:val="20"/>
          <w:szCs w:val="20"/>
        </w:rPr>
        <w:t xml:space="preserve"> </w:t>
      </w:r>
    </w:p>
  </w:footnote>
  <w:footnote w:id="88">
    <w:p w14:paraId="5752CBE1" w14:textId="77777777" w:rsidR="005E6206" w:rsidRPr="004C5E67" w:rsidRDefault="005E6206" w:rsidP="003952A0">
      <w:pPr>
        <w:spacing w:after="0" w:line="240" w:lineRule="auto"/>
        <w:contextualSpacing/>
        <w:jc w:val="both"/>
        <w:rPr>
          <w:sz w:val="20"/>
          <w:szCs w:val="20"/>
        </w:rPr>
      </w:pPr>
      <w:r w:rsidRPr="004C5E67">
        <w:rPr>
          <w:sz w:val="20"/>
          <w:szCs w:val="20"/>
          <w:vertAlign w:val="superscript"/>
        </w:rPr>
        <w:footnoteRef/>
      </w:r>
      <w:r w:rsidRPr="004C5E67">
        <w:rPr>
          <w:rFonts w:ascii="Chivo" w:eastAsia="Chivo" w:hAnsi="Chivo" w:cs="Chivo"/>
          <w:sz w:val="20"/>
          <w:szCs w:val="20"/>
        </w:rPr>
        <w:t xml:space="preserve"> Anuario estadístico educativo 2020:</w:t>
      </w:r>
      <w:r>
        <w:rPr>
          <w:rFonts w:ascii="Chivo" w:eastAsia="Chivo" w:hAnsi="Chivo" w:cs="Chivo"/>
          <w:sz w:val="20"/>
          <w:szCs w:val="20"/>
        </w:rPr>
        <w:t xml:space="preserve"> </w:t>
      </w:r>
      <w:hyperlink r:id="rId56" w:history="1">
        <w:r w:rsidRPr="004C5E67">
          <w:rPr>
            <w:rStyle w:val="Hipervnculo"/>
            <w:rFonts w:ascii="Chivo" w:eastAsia="Chivo" w:hAnsi="Chivo" w:cs="Chivo"/>
            <w:sz w:val="20"/>
            <w:szCs w:val="20"/>
          </w:rPr>
          <w:t>link</w:t>
        </w:r>
      </w:hyperlink>
      <w:r w:rsidRPr="004C5E67">
        <w:rPr>
          <w:rFonts w:ascii="Chivo" w:eastAsia="Chivo" w:hAnsi="Chivo" w:cs="Chivo"/>
          <w:sz w:val="20"/>
          <w:szCs w:val="20"/>
        </w:rPr>
        <w:t>. Para completar esta información y obtener datos desagregados se realizó un pedido de acceso a la información pública en los términos de la Ley 27.275 a la Dirección Nacional de Información, Evaluación y Estadística Educativa, y en base a la información brindada se construyó este dato. Estos datos aún no se hallan disponibles para el año 2021.</w:t>
      </w:r>
    </w:p>
  </w:footnote>
  <w:footnote w:id="89">
    <w:p w14:paraId="1E646B41" w14:textId="77777777" w:rsidR="005E6206" w:rsidRDefault="005E6206" w:rsidP="003952A0">
      <w:pPr>
        <w:pStyle w:val="Textonotapie"/>
        <w:jc w:val="both"/>
      </w:pPr>
      <w:r>
        <w:rPr>
          <w:rStyle w:val="Refdenotaalpie"/>
        </w:rPr>
        <w:footnoteRef/>
      </w:r>
      <w:r>
        <w:t xml:space="preserve"> </w:t>
      </w:r>
      <w:r w:rsidRPr="000558C5">
        <w:t>Por ejemplo, en la Provincia de Corrientes este porcentaje es del 54%, en Misiones es del 53,8%, en San Juan del 52% y en Chaco del 51,3%.</w:t>
      </w:r>
    </w:p>
  </w:footnote>
  <w:footnote w:id="90">
    <w:p w14:paraId="150C5029" w14:textId="77777777" w:rsidR="005E6206" w:rsidRPr="002F05AE" w:rsidRDefault="005E6206" w:rsidP="003E6FA4">
      <w:pPr>
        <w:spacing w:after="0" w:line="240" w:lineRule="auto"/>
        <w:contextualSpacing/>
        <w:jc w:val="both"/>
        <w:rPr>
          <w:rFonts w:ascii="Chivo" w:eastAsia="Chivo" w:hAnsi="Chivo" w:cs="Chivo"/>
          <w:sz w:val="18"/>
          <w:szCs w:val="18"/>
        </w:rPr>
      </w:pPr>
      <w:r w:rsidRPr="004C5E67">
        <w:rPr>
          <w:sz w:val="20"/>
          <w:szCs w:val="20"/>
          <w:vertAlign w:val="superscript"/>
        </w:rPr>
        <w:footnoteRef/>
      </w:r>
      <w:r>
        <w:rPr>
          <w:rFonts w:ascii="Chivo" w:eastAsia="Chivo" w:hAnsi="Chivo" w:cs="Chivo"/>
          <w:sz w:val="20"/>
          <w:szCs w:val="20"/>
        </w:rPr>
        <w:t xml:space="preserve"> ACIJ, </w:t>
      </w:r>
      <w:r w:rsidRPr="005C5852">
        <w:rPr>
          <w:rFonts w:ascii="Chivo" w:eastAsia="Chivo" w:hAnsi="Chivo" w:cs="Chivo"/>
          <w:sz w:val="20"/>
          <w:szCs w:val="20"/>
        </w:rPr>
        <w:t>Apoyos para la</w:t>
      </w:r>
      <w:r>
        <w:rPr>
          <w:rFonts w:ascii="Chivo" w:eastAsia="Chivo" w:hAnsi="Chivo" w:cs="Chivo"/>
          <w:sz w:val="20"/>
          <w:szCs w:val="20"/>
        </w:rPr>
        <w:t xml:space="preserve"> </w:t>
      </w:r>
      <w:r w:rsidRPr="005C5852">
        <w:rPr>
          <w:rFonts w:ascii="Chivo" w:eastAsia="Chivo" w:hAnsi="Chivo" w:cs="Chivo"/>
          <w:sz w:val="20"/>
          <w:szCs w:val="20"/>
        </w:rPr>
        <w:t>educación inclusiva:</w:t>
      </w:r>
      <w:r>
        <w:rPr>
          <w:rFonts w:ascii="Chivo" w:eastAsia="Chivo" w:hAnsi="Chivo" w:cs="Chivo"/>
          <w:sz w:val="20"/>
          <w:szCs w:val="20"/>
        </w:rPr>
        <w:t xml:space="preserve"> </w:t>
      </w:r>
      <w:r w:rsidRPr="005C5852">
        <w:rPr>
          <w:rFonts w:ascii="Chivo" w:eastAsia="Chivo" w:hAnsi="Chivo" w:cs="Chivo"/>
          <w:sz w:val="20"/>
          <w:szCs w:val="20"/>
        </w:rPr>
        <w:t>datos que evidencian</w:t>
      </w:r>
      <w:r>
        <w:rPr>
          <w:rFonts w:ascii="Chivo" w:eastAsia="Chivo" w:hAnsi="Chivo" w:cs="Chivo"/>
          <w:sz w:val="20"/>
          <w:szCs w:val="20"/>
        </w:rPr>
        <w:t xml:space="preserve"> </w:t>
      </w:r>
      <w:r w:rsidRPr="005C5852">
        <w:rPr>
          <w:rFonts w:ascii="Chivo" w:eastAsia="Chivo" w:hAnsi="Chivo" w:cs="Chivo"/>
          <w:sz w:val="20"/>
          <w:szCs w:val="20"/>
        </w:rPr>
        <w:t>barreras</w:t>
      </w:r>
      <w:r>
        <w:rPr>
          <w:rFonts w:ascii="Chivo" w:eastAsia="Chivo" w:hAnsi="Chivo" w:cs="Chivo"/>
          <w:sz w:val="20"/>
          <w:szCs w:val="20"/>
        </w:rPr>
        <w:t xml:space="preserve">: </w:t>
      </w:r>
      <w:hyperlink r:id="rId57" w:history="1">
        <w:r w:rsidRPr="005C5852">
          <w:rPr>
            <w:rStyle w:val="Hipervnculo"/>
            <w:rFonts w:ascii="Chivo" w:eastAsia="Chivo" w:hAnsi="Chivo" w:cs="Chivo"/>
            <w:sz w:val="20"/>
            <w:szCs w:val="20"/>
          </w:rPr>
          <w:t>link.</w:t>
        </w:r>
      </w:hyperlink>
      <w:r>
        <w:rPr>
          <w:rFonts w:ascii="Chivo" w:eastAsia="Chivo" w:hAnsi="Chivo" w:cs="Chivo"/>
          <w:sz w:val="20"/>
          <w:szCs w:val="20"/>
        </w:rPr>
        <w:t xml:space="preserve"> </w:t>
      </w:r>
    </w:p>
  </w:footnote>
  <w:footnote w:id="91">
    <w:p w14:paraId="5789764A" w14:textId="693FE571" w:rsidR="005E6206" w:rsidRDefault="005E6206">
      <w:pPr>
        <w:pStyle w:val="Textonotapie"/>
      </w:pPr>
      <w:r>
        <w:rPr>
          <w:rStyle w:val="Refdenotaalpie"/>
        </w:rPr>
        <w:footnoteRef/>
      </w:r>
      <w:r>
        <w:t xml:space="preserve"> </w:t>
      </w:r>
      <w:r w:rsidRPr="00940520">
        <w:rPr>
          <w:lang w:val="es-ES"/>
        </w:rPr>
        <w:t>Informe País</w:t>
      </w:r>
      <w:r>
        <w:rPr>
          <w:lang w:val="es-ES"/>
        </w:rPr>
        <w:t xml:space="preserve">, </w:t>
      </w:r>
      <w:r w:rsidRPr="00940520">
        <w:rPr>
          <w:lang w:val="es-ES"/>
        </w:rPr>
        <w:t>párrafo 52</w:t>
      </w:r>
      <w:r>
        <w:rPr>
          <w:lang w:val="es-ES"/>
        </w:rPr>
        <w:t>.</w:t>
      </w:r>
    </w:p>
  </w:footnote>
  <w:footnote w:id="92">
    <w:p w14:paraId="182DF09F" w14:textId="1C2D1996" w:rsidR="005E6206" w:rsidRPr="00EC69D1" w:rsidRDefault="005E6206">
      <w:pPr>
        <w:pStyle w:val="Textonotapie"/>
        <w:rPr>
          <w:lang w:val="es-ES"/>
        </w:rPr>
      </w:pPr>
      <w:r>
        <w:rPr>
          <w:rStyle w:val="Refdenotaalpie"/>
        </w:rPr>
        <w:footnoteRef/>
      </w:r>
      <w:r>
        <w:t xml:space="preserve"> </w:t>
      </w:r>
      <w:proofErr w:type="spellStart"/>
      <w:r>
        <w:rPr>
          <w:lang w:val="es-ES"/>
        </w:rPr>
        <w:t>Tiflonexos</w:t>
      </w:r>
      <w:proofErr w:type="spellEnd"/>
      <w:r>
        <w:rPr>
          <w:lang w:val="es-ES"/>
        </w:rPr>
        <w:t xml:space="preserve">, </w:t>
      </w:r>
      <w:hyperlink r:id="rId58" w:history="1">
        <w:r w:rsidRPr="008E7FD5">
          <w:rPr>
            <w:rStyle w:val="Hipervnculo"/>
            <w:lang w:val="es-ES"/>
          </w:rPr>
          <w:t>https://tiflonexos.org/content/seguimos-adaptando-seguimos-educando</w:t>
        </w:r>
      </w:hyperlink>
    </w:p>
  </w:footnote>
  <w:footnote w:id="93">
    <w:p w14:paraId="5F70FFF9" w14:textId="78DCBF94" w:rsidR="005E6206" w:rsidRPr="008D604C" w:rsidRDefault="005E6206">
      <w:pPr>
        <w:pStyle w:val="Textonotapie"/>
        <w:rPr>
          <w:lang w:val="es-ES"/>
        </w:rPr>
      </w:pPr>
      <w:r>
        <w:rPr>
          <w:rStyle w:val="Refdenotaalpie"/>
        </w:rPr>
        <w:footnoteRef/>
      </w:r>
      <w:r>
        <w:t xml:space="preserve"> </w:t>
      </w:r>
      <w:r w:rsidRPr="0013755B">
        <w:t>https://drive.google.com/drive/folders/1NQLREYmdn0_8H4lsUehjhVJo1zsNFHrn</w:t>
      </w:r>
    </w:p>
  </w:footnote>
  <w:footnote w:id="94">
    <w:p w14:paraId="4225E363" w14:textId="093B4F2F" w:rsidR="005E6206" w:rsidRDefault="005E6206" w:rsidP="0095628F">
      <w:pPr>
        <w:pStyle w:val="Textonotapie"/>
        <w:jc w:val="both"/>
      </w:pPr>
      <w:r>
        <w:rPr>
          <w:rStyle w:val="Refdenotaalpie"/>
        </w:rPr>
        <w:footnoteRef/>
      </w:r>
      <w:r>
        <w:t>D</w:t>
      </w:r>
      <w:r w:rsidRPr="00A61F90">
        <w:t xml:space="preserve">esde hace más de 20 años </w:t>
      </w:r>
      <w:r>
        <w:t xml:space="preserve">existe </w:t>
      </w:r>
      <w:r w:rsidRPr="00A61F90">
        <w:t>la red interuniversitaria de Discapacidad, actualmente red del Consejo Interuniversitario Nacional (CIN)</w:t>
      </w:r>
      <w:r>
        <w:t xml:space="preserve">. </w:t>
      </w:r>
    </w:p>
  </w:footnote>
  <w:footnote w:id="95">
    <w:p w14:paraId="5A6A8A85" w14:textId="3DA7EEE5" w:rsidR="005E6206" w:rsidRDefault="005E6206" w:rsidP="0095628F">
      <w:pPr>
        <w:spacing w:after="0" w:line="240" w:lineRule="auto"/>
        <w:jc w:val="both"/>
        <w:rPr>
          <w:sz w:val="18"/>
          <w:szCs w:val="18"/>
        </w:rPr>
      </w:pPr>
      <w:r>
        <w:rPr>
          <w:vertAlign w:val="superscript"/>
        </w:rPr>
        <w:footnoteRef/>
      </w:r>
      <w:r>
        <w:rPr>
          <w:sz w:val="20"/>
          <w:szCs w:val="20"/>
        </w:rPr>
        <w:t xml:space="preserve"> </w:t>
      </w:r>
      <w:r w:rsidRPr="0095628F">
        <w:rPr>
          <w:sz w:val="20"/>
          <w:szCs w:val="20"/>
          <w:lang w:val="es-AR"/>
        </w:rPr>
        <w:t>Aunado a ello, en la Universidad Nacional de La Plata (UNLP), Provincia de Buenos Aires, la Ley 26.653 no se cumple. La mayoría del contenido en páginas web, incluido el Portal de la UNLP, no es accesible y la accesibilidad solo es garantizada a través de iniciativas voluntarias de la Comisión Universitaria en Discapacidad UNL</w:t>
      </w:r>
      <w:r>
        <w:rPr>
          <w:sz w:val="20"/>
          <w:szCs w:val="20"/>
          <w:lang w:val="es-AR"/>
        </w:rPr>
        <w:t xml:space="preserve">P: </w:t>
      </w:r>
      <w:r>
        <w:rPr>
          <w:sz w:val="20"/>
          <w:szCs w:val="20"/>
        </w:rPr>
        <w:t xml:space="preserve">Comisión Universitaria sobre Discapacidad: </w:t>
      </w:r>
      <w:hyperlink r:id="rId59" w:history="1">
        <w:r w:rsidRPr="002D79FB">
          <w:rPr>
            <w:rStyle w:val="Hipervnculo"/>
            <w:rFonts w:cstheme="minorBidi"/>
            <w:sz w:val="20"/>
            <w:szCs w:val="20"/>
          </w:rPr>
          <w:t>link</w:t>
        </w:r>
      </w:hyperlink>
      <w:r>
        <w:rPr>
          <w:sz w:val="20"/>
          <w:szCs w:val="20"/>
        </w:rPr>
        <w:t xml:space="preserve"> y </w:t>
      </w:r>
      <w:hyperlink r:id="rId60">
        <w:r>
          <w:rPr>
            <w:color w:val="1155CC"/>
            <w:sz w:val="20"/>
            <w:szCs w:val="20"/>
            <w:u w:val="single"/>
          </w:rPr>
          <w:t>http://www.cud.unlp.edu.ar</w:t>
        </w:r>
      </w:hyperlink>
      <w:r w:rsidRPr="0095628F">
        <w:rPr>
          <w:b/>
          <w:sz w:val="20"/>
          <w:szCs w:val="20"/>
          <w:lang w:val="es-AR"/>
        </w:rPr>
        <w:t xml:space="preserve"> </w:t>
      </w:r>
    </w:p>
  </w:footnote>
  <w:footnote w:id="96">
    <w:p w14:paraId="16D059E1" w14:textId="77777777" w:rsidR="005E6206" w:rsidRDefault="005E6206" w:rsidP="0095628F">
      <w:pPr>
        <w:pStyle w:val="Textonotapie"/>
        <w:jc w:val="both"/>
      </w:pPr>
      <w:r>
        <w:rPr>
          <w:rStyle w:val="Refdenotaalpie"/>
        </w:rPr>
        <w:footnoteRef/>
      </w:r>
      <w:r>
        <w:t xml:space="preserve"> </w:t>
      </w:r>
      <w:r w:rsidRPr="000C7303">
        <w:t xml:space="preserve">Durante el 2021 en la Provincia de Buenos Aires presentaron sus proyectos de adecuación la Colonia Domingo </w:t>
      </w:r>
      <w:proofErr w:type="spellStart"/>
      <w:r w:rsidRPr="000C7303">
        <w:t>Cabred</w:t>
      </w:r>
      <w:proofErr w:type="spellEnd"/>
      <w:r w:rsidRPr="000C7303">
        <w:t xml:space="preserve"> (Open </w:t>
      </w:r>
      <w:proofErr w:type="spellStart"/>
      <w:r w:rsidRPr="000C7303">
        <w:t>Door</w:t>
      </w:r>
      <w:proofErr w:type="spellEnd"/>
      <w:r w:rsidRPr="000C7303">
        <w:t>), José Esteves (</w:t>
      </w:r>
      <w:proofErr w:type="spellStart"/>
      <w:r w:rsidRPr="000C7303">
        <w:t>Temperley</w:t>
      </w:r>
      <w:proofErr w:type="spellEnd"/>
      <w:r w:rsidRPr="000C7303">
        <w:t xml:space="preserve">), Alejandro Korn (Melchor Romero, La Plata) y Domingo </w:t>
      </w:r>
      <w:proofErr w:type="spellStart"/>
      <w:r w:rsidRPr="000C7303">
        <w:t>Taraborelli</w:t>
      </w:r>
      <w:proofErr w:type="spellEnd"/>
      <w:r w:rsidRPr="000C7303">
        <w:t xml:space="preserve"> (</w:t>
      </w:r>
      <w:proofErr w:type="spellStart"/>
      <w:r w:rsidRPr="000C7303">
        <w:t>Necochea</w:t>
      </w:r>
      <w:proofErr w:type="spellEnd"/>
      <w:r w:rsidRPr="000C7303">
        <w:t>).</w:t>
      </w:r>
    </w:p>
  </w:footnote>
  <w:footnote w:id="97">
    <w:p w14:paraId="46F075E9" w14:textId="251FBC38" w:rsidR="005E6206" w:rsidRDefault="005E6206">
      <w:pPr>
        <w:pStyle w:val="Textonotapie"/>
      </w:pPr>
      <w:r>
        <w:rPr>
          <w:rStyle w:val="Refdenotaalpie"/>
        </w:rPr>
        <w:footnoteRef/>
      </w:r>
      <w:r>
        <w:t xml:space="preserve"> </w:t>
      </w:r>
      <w:hyperlink r:id="rId61" w:history="1">
        <w:r w:rsidRPr="00DA7961">
          <w:rPr>
            <w:rStyle w:val="Hipervnculo"/>
          </w:rPr>
          <w:t>https://docs.google.com/document/d/1pcZJ82Eow7tDYzUq4LHAhiFFIkxggUaB/edit</w:t>
        </w:r>
      </w:hyperlink>
    </w:p>
  </w:footnote>
  <w:footnote w:id="98">
    <w:p w14:paraId="00AEB4B3" w14:textId="77777777" w:rsidR="005E6206" w:rsidRDefault="005E6206" w:rsidP="00022325">
      <w:pPr>
        <w:pStyle w:val="Textonotapie"/>
      </w:pPr>
      <w:r>
        <w:rPr>
          <w:rStyle w:val="Refdenotaalpie"/>
        </w:rPr>
        <w:footnoteRef/>
      </w:r>
      <w:r>
        <w:t xml:space="preserve"> </w:t>
      </w:r>
      <w:r w:rsidRPr="00590F3B">
        <w:t>Ley Nacional N° 25.929</w:t>
      </w:r>
      <w:r>
        <w:t xml:space="preserve">: </w:t>
      </w:r>
      <w:hyperlink r:id="rId62" w:history="1">
        <w:r w:rsidRPr="00590F3B">
          <w:rPr>
            <w:rStyle w:val="Hipervnculo"/>
          </w:rPr>
          <w:t>link.</w:t>
        </w:r>
      </w:hyperlink>
      <w:r>
        <w:t xml:space="preserve"> </w:t>
      </w:r>
    </w:p>
  </w:footnote>
  <w:footnote w:id="99">
    <w:p w14:paraId="447A98AC" w14:textId="77777777" w:rsidR="005E6206" w:rsidRPr="003B5755" w:rsidRDefault="005E6206" w:rsidP="00022325">
      <w:pPr>
        <w:pStyle w:val="Textonotapie"/>
        <w:jc w:val="both"/>
        <w:rPr>
          <w:rFonts w:cstheme="minorHAnsi"/>
        </w:rPr>
      </w:pPr>
      <w:r w:rsidRPr="003B5755">
        <w:rPr>
          <w:rStyle w:val="Refdenotaalpie"/>
          <w:rFonts w:cstheme="minorHAnsi"/>
        </w:rPr>
        <w:footnoteRef/>
      </w:r>
      <w:r w:rsidRPr="003B5755">
        <w:rPr>
          <w:rFonts w:cstheme="minorHAnsi"/>
        </w:rPr>
        <w:t xml:space="preserve"> Jujuy al momento, </w:t>
      </w:r>
      <w:hyperlink r:id="rId63" w:history="1">
        <w:r w:rsidRPr="003B5755">
          <w:rPr>
            <w:rStyle w:val="Hipervnculo"/>
            <w:rFonts w:eastAsiaTheme="majorEastAsia" w:cstheme="minorHAnsi"/>
          </w:rPr>
          <w:t>Malestar y quejas por largas filas y atención lenta en Hospital Néstor Sequeiros</w:t>
        </w:r>
      </w:hyperlink>
      <w:r w:rsidRPr="003B5755">
        <w:rPr>
          <w:rFonts w:cstheme="minorHAnsi"/>
        </w:rPr>
        <w:t xml:space="preserve">, 24 de octubre de 2022. </w:t>
      </w:r>
    </w:p>
  </w:footnote>
  <w:footnote w:id="100">
    <w:p w14:paraId="54467617" w14:textId="3B5314C6" w:rsidR="005E6206" w:rsidRDefault="005E6206" w:rsidP="003F612F">
      <w:pPr>
        <w:pStyle w:val="Textonotapie"/>
        <w:jc w:val="both"/>
      </w:pPr>
      <w:r>
        <w:rPr>
          <w:rStyle w:val="Refdenotaalpie"/>
        </w:rPr>
        <w:footnoteRef/>
      </w:r>
      <w:r>
        <w:t xml:space="preserve"> Información brindada por l</w:t>
      </w:r>
      <w:r w:rsidRPr="000B60AC">
        <w:t>a Secretaría de Gestión de Empleo Público de la Jefatura de Gabinete de Ministros de la Nación</w:t>
      </w:r>
      <w:r>
        <w:t xml:space="preserve">. </w:t>
      </w:r>
    </w:p>
  </w:footnote>
  <w:footnote w:id="101">
    <w:p w14:paraId="2E5C9F6D" w14:textId="56166807" w:rsidR="005E6206" w:rsidRPr="00DA0B68" w:rsidRDefault="005E6206">
      <w:pPr>
        <w:pStyle w:val="Textonotapie"/>
      </w:pPr>
      <w:r>
        <w:rPr>
          <w:rStyle w:val="Refdenotaalpie"/>
        </w:rPr>
        <w:footnoteRef/>
      </w:r>
      <w:r>
        <w:t xml:space="preserve"> </w:t>
      </w:r>
      <w:r>
        <w:rPr>
          <w:lang w:val="es-ES"/>
        </w:rPr>
        <w:t>Resolución 3/21</w:t>
      </w:r>
    </w:p>
  </w:footnote>
  <w:footnote w:id="102">
    <w:p w14:paraId="4933F8BF" w14:textId="3142A8AE" w:rsidR="005E6206" w:rsidRPr="00975199" w:rsidRDefault="005E6206" w:rsidP="003F612F">
      <w:pPr>
        <w:pStyle w:val="Textonotapie"/>
        <w:jc w:val="both"/>
        <w:rPr>
          <w:lang w:val="es-ES"/>
        </w:rPr>
      </w:pPr>
      <w:r>
        <w:rPr>
          <w:rStyle w:val="Refdenotaalpie"/>
        </w:rPr>
        <w:footnoteRef/>
      </w:r>
      <w:r>
        <w:t xml:space="preserve"> </w:t>
      </w:r>
      <w:r>
        <w:rPr>
          <w:lang w:val="es-ES"/>
        </w:rPr>
        <w:t xml:space="preserve">Ley 27.555, Régimen Legal del Contrato de Teletrabajo: </w:t>
      </w:r>
      <w:hyperlink r:id="rId64" w:history="1">
        <w:r w:rsidRPr="00201214">
          <w:rPr>
            <w:rStyle w:val="Hipervnculo"/>
            <w:lang w:val="es-ES"/>
          </w:rPr>
          <w:t xml:space="preserve">link. </w:t>
        </w:r>
      </w:hyperlink>
      <w:r>
        <w:rPr>
          <w:lang w:val="es-ES"/>
        </w:rPr>
        <w:t xml:space="preserve"> </w:t>
      </w:r>
    </w:p>
  </w:footnote>
  <w:footnote w:id="103">
    <w:p w14:paraId="7391603D" w14:textId="1092B702" w:rsidR="005E6206" w:rsidRDefault="005E6206" w:rsidP="003F612F">
      <w:pPr>
        <w:pStyle w:val="Textonotapie"/>
        <w:jc w:val="both"/>
      </w:pPr>
      <w:r>
        <w:rPr>
          <w:rStyle w:val="Refdenotaalpie"/>
        </w:rPr>
        <w:footnoteRef/>
      </w:r>
      <w:r>
        <w:t xml:space="preserve"> </w:t>
      </w:r>
      <w:r w:rsidRPr="00E140B0">
        <w:t xml:space="preserve">La posibilidad de una inserción laboral igualitaria se ve particularmente obstaculizada en el Poder Judicial de la Provincia de Santa Fe. Desde el año 2015 se modificó su “Régimen de Ingreso de Empleados Administrativos, choferes y personal con oficios del Poder Judicial”, incorporando el “Régimen de Ingreso de Aspirantes con Capacidades Diferentes”, a los efectos de cumplir con el requisito del cupo mínimo del 4% de PCD empleadas en el Estado. Para el ingreso del año 2018 y a fin de no realizar ajustes razonables para todas las PCD, el Poder Judicial eximió a las mismas de las etapas: examen de mecanografía y examen de ortografía/contenido. Luego se realizó un sorteo con todas las PCD a los efectos de establecer un orden de prelación para el ingreso, previsto en el nuevo reglamento. Por último, las PCD que integran la lista de “Aspirantes con Capacidades Diferentes”, no pueden subrogar en la labor judicial, solo titularizar. Mientras que las personas integrantes de la lista general, pueden subrogar y titularizar. Se debe aclarar que la </w:t>
      </w:r>
      <w:proofErr w:type="spellStart"/>
      <w:r w:rsidRPr="00E140B0">
        <w:t>subrogancia</w:t>
      </w:r>
      <w:proofErr w:type="spellEnd"/>
      <w:r w:rsidRPr="00E140B0">
        <w:t xml:space="preserve"> otorga puntaje para futuros concursos.</w:t>
      </w:r>
    </w:p>
  </w:footnote>
  <w:footnote w:id="104">
    <w:p w14:paraId="2E2D3822" w14:textId="77777777" w:rsidR="005E6206" w:rsidRPr="003B51FB" w:rsidRDefault="005E6206" w:rsidP="00E413A2">
      <w:pPr>
        <w:pStyle w:val="Textonotapie"/>
        <w:contextualSpacing/>
      </w:pPr>
      <w:r w:rsidRPr="003B51FB">
        <w:rPr>
          <w:rStyle w:val="Refdenotaalpie"/>
        </w:rPr>
        <w:footnoteRef/>
      </w:r>
      <w:r w:rsidRPr="003B51FB">
        <w:t xml:space="preserve"> </w:t>
      </w:r>
      <w:hyperlink r:id="rId65" w:history="1">
        <w:r w:rsidRPr="003B51FB">
          <w:rPr>
            <w:rStyle w:val="Hipervnculo"/>
            <w:rFonts w:eastAsiaTheme="majorEastAsia"/>
          </w:rPr>
          <w:t>Ley 26.816</w:t>
        </w:r>
      </w:hyperlink>
      <w:r w:rsidRPr="003B51FB">
        <w:t>.</w:t>
      </w:r>
    </w:p>
  </w:footnote>
  <w:footnote w:id="105">
    <w:p w14:paraId="17CF39C9" w14:textId="4BEF16F7" w:rsidR="005E6206" w:rsidRDefault="005E6206" w:rsidP="00E413A2">
      <w:pPr>
        <w:spacing w:after="0" w:line="240" w:lineRule="auto"/>
        <w:contextualSpacing/>
        <w:jc w:val="both"/>
      </w:pPr>
      <w:r w:rsidRPr="003B51FB">
        <w:rPr>
          <w:rStyle w:val="Refdenotaalpie"/>
          <w:sz w:val="20"/>
          <w:szCs w:val="20"/>
        </w:rPr>
        <w:footnoteRef/>
      </w:r>
      <w:r>
        <w:t xml:space="preserve"> </w:t>
      </w:r>
      <w:hyperlink r:id="rId66" w:history="1">
        <w:r w:rsidRPr="003B51FB">
          <w:rPr>
            <w:rStyle w:val="Hipervnculo"/>
            <w:rFonts w:cstheme="minorBidi"/>
            <w:sz w:val="20"/>
            <w:szCs w:val="20"/>
            <w:lang w:val="es-AR"/>
          </w:rPr>
          <w:t>Decreto Reglamentario 1771/15</w:t>
        </w:r>
        <w:r w:rsidRPr="003B51FB">
          <w:rPr>
            <w:rStyle w:val="Hipervnculo"/>
            <w:rFonts w:cstheme="minorBidi"/>
            <w:sz w:val="20"/>
            <w:szCs w:val="20"/>
          </w:rPr>
          <w:t xml:space="preserve"> </w:t>
        </w:r>
      </w:hyperlink>
      <w:r w:rsidRPr="003B51FB">
        <w:rPr>
          <w:rFonts w:eastAsia="Times New Roman" w:cstheme="minorHAnsi"/>
          <w:color w:val="000000"/>
          <w:sz w:val="20"/>
          <w:szCs w:val="20"/>
          <w:lang w:val="es-AR" w:eastAsia="en-GB"/>
        </w:rPr>
        <w:t xml:space="preserve"> </w:t>
      </w:r>
    </w:p>
  </w:footnote>
  <w:footnote w:id="106">
    <w:p w14:paraId="03E887CD" w14:textId="77777777" w:rsidR="005E6206" w:rsidRDefault="005E6206" w:rsidP="00E413A2">
      <w:pPr>
        <w:pStyle w:val="Textonotapie"/>
        <w:jc w:val="both"/>
      </w:pPr>
      <w:r>
        <w:rPr>
          <w:rStyle w:val="Refdenotaalpie"/>
        </w:rPr>
        <w:footnoteRef/>
      </w:r>
      <w:r>
        <w:t xml:space="preserve"> </w:t>
      </w:r>
      <w:r w:rsidRPr="003B51FB">
        <w:t>Resoluciones Nº 347/2021 y 792/2021 del MINISTERIO DE TRABAJO, EMPLEO Y SEGURIDAD SOCIAL y PREV-11-70 3/13 (vigencia junio de 2022) de ANSES.</w:t>
      </w:r>
    </w:p>
  </w:footnote>
  <w:footnote w:id="107">
    <w:p w14:paraId="2C367822" w14:textId="4A84FE84" w:rsidR="005E6206" w:rsidRDefault="005E6206">
      <w:pPr>
        <w:pStyle w:val="Textonotapie"/>
      </w:pPr>
      <w:r>
        <w:rPr>
          <w:rStyle w:val="Refdenotaalpie"/>
        </w:rPr>
        <w:footnoteRef/>
      </w:r>
      <w:r>
        <w:t xml:space="preserve"> </w:t>
      </w:r>
      <w:r w:rsidRPr="002E233E">
        <w:t>Decreto 432/97 previo a la Convención</w:t>
      </w:r>
      <w:r>
        <w:t xml:space="preserve">. </w:t>
      </w:r>
    </w:p>
  </w:footnote>
  <w:footnote w:id="108">
    <w:p w14:paraId="09520505" w14:textId="5ED00931" w:rsidR="005E6206" w:rsidRPr="00A33D8C" w:rsidRDefault="005E6206">
      <w:pPr>
        <w:pStyle w:val="Textonotapie"/>
        <w:rPr>
          <w:lang w:val="es-ES"/>
        </w:rPr>
      </w:pPr>
      <w:r>
        <w:rPr>
          <w:rStyle w:val="Refdenotaalpie"/>
        </w:rPr>
        <w:footnoteRef/>
      </w:r>
      <w:r>
        <w:t xml:space="preserve"> </w:t>
      </w:r>
      <w:r>
        <w:rPr>
          <w:lang w:val="es-ES"/>
        </w:rPr>
        <w:t xml:space="preserve">Decreto </w:t>
      </w:r>
      <w:r w:rsidRPr="00A33D8C">
        <w:rPr>
          <w:lang w:val="es-ES"/>
        </w:rPr>
        <w:t>https://www.boletinoficial.gob.ar/detalleAviso/primera/279166/20230106</w:t>
      </w:r>
    </w:p>
  </w:footnote>
  <w:footnote w:id="109">
    <w:p w14:paraId="11A1DCE9" w14:textId="1FB7A354" w:rsidR="005E6206" w:rsidRDefault="005E6206" w:rsidP="00FE7136">
      <w:pPr>
        <w:pStyle w:val="Textonotapie"/>
        <w:jc w:val="both"/>
      </w:pPr>
      <w:r>
        <w:rPr>
          <w:rStyle w:val="Refdenotaalpie"/>
        </w:rPr>
        <w:footnoteRef/>
      </w:r>
      <w:r>
        <w:t xml:space="preserve"> </w:t>
      </w:r>
      <w:r w:rsidRPr="00FE7136">
        <w:t>En fecha 18/9/2018 una sentencia de primera instancia dejó sin efecto la arbitraria decisión gubernamental cuestionada en juicio porque no había respetado la garantía del debido proceso de las PCD.</w:t>
      </w:r>
    </w:p>
  </w:footnote>
  <w:footnote w:id="110">
    <w:p w14:paraId="2AACB3EA" w14:textId="53E688D0" w:rsidR="005E6206" w:rsidRDefault="005E6206" w:rsidP="00FE7136">
      <w:pPr>
        <w:pStyle w:val="Textonotapie"/>
        <w:jc w:val="both"/>
      </w:pPr>
      <w:r>
        <w:rPr>
          <w:rStyle w:val="Refdenotaalpie"/>
        </w:rPr>
        <w:footnoteRef/>
      </w:r>
      <w:r>
        <w:t xml:space="preserve"> </w:t>
      </w:r>
      <w:r w:rsidRPr="00FE7136">
        <w:t xml:space="preserve">En fecha 15/3/2019 la Cámara de Apelaciones declaró la inconstitucionalidad de los arts.  1º inc. b),  f)  y g)  y art. 5º </w:t>
      </w:r>
      <w:proofErr w:type="spellStart"/>
      <w:r w:rsidRPr="00FE7136">
        <w:t>inc</w:t>
      </w:r>
      <w:proofErr w:type="spellEnd"/>
      <w:r w:rsidRPr="00FE7136">
        <w:t xml:space="preserve"> b)  del Decreto Nº 432/97reglamentario de la Ley 13.478   porque violan la CDPD en cuanto no reconocen la autonomía de las </w:t>
      </w:r>
      <w:proofErr w:type="spellStart"/>
      <w:r w:rsidRPr="00FE7136">
        <w:t>pcd</w:t>
      </w:r>
      <w:proofErr w:type="spellEnd"/>
      <w:r w:rsidRPr="00FE7136">
        <w:t xml:space="preserve">. Las normas que el colectivo actor ha impugnado abordan a la persona con discapacidad desde un contenido </w:t>
      </w:r>
      <w:proofErr w:type="spellStart"/>
      <w:r w:rsidRPr="00FE7136">
        <w:t>biologicista</w:t>
      </w:r>
      <w:proofErr w:type="spellEnd"/>
      <w:r w:rsidRPr="00FE7136">
        <w:t xml:space="preserve">, atendiendo sólo a su imposibilidad de insertarse en el mercado laboral y desatienden la existencia de barreras actitudinales, de mercado, culturales y sociales. Además, requieren para el otorgamiento de la pensión, la inexistencia de familiares que sean obligados alimentarios y estén en condiciones de asistirlos. Así, no ven a la </w:t>
      </w:r>
      <w:proofErr w:type="spellStart"/>
      <w:r w:rsidRPr="00FE7136">
        <w:t>pcd</w:t>
      </w:r>
      <w:proofErr w:type="spellEnd"/>
      <w:r w:rsidRPr="00FE7136">
        <w:t xml:space="preserve"> mayor de edad como una persona autónoma con derecho a acceder a un ingreso genuino de protección social, sino que la desplazan hacia el margen del debate político y focalizan en su familia de la cual la hacen depender. En concusión, la obligan a iniciar proceso para reclamar alimentos a sus parientes y sólo ante la imposibilidad de percibirlos les otorgan la pensión.</w:t>
      </w:r>
    </w:p>
  </w:footnote>
  <w:footnote w:id="111">
    <w:p w14:paraId="355AA78F" w14:textId="10DE82AD" w:rsidR="005E6206" w:rsidRDefault="005E6206" w:rsidP="003034EB">
      <w:pPr>
        <w:pStyle w:val="Textonotapie"/>
        <w:jc w:val="both"/>
      </w:pPr>
      <w:r>
        <w:rPr>
          <w:rStyle w:val="Refdenotaalpie"/>
        </w:rPr>
        <w:footnoteRef/>
      </w:r>
      <w:r>
        <w:t xml:space="preserve"> </w:t>
      </w:r>
      <w:r w:rsidRPr="003034EB">
        <w:t>En la actualidad una jubilación mínima en territorio bonaerense promedia los $33.000 pesos, los montos de las pensiones por discapacidad siguen resultando inferior al haber de referencia. A saber, en mayo de 2022 se elevaron de $1.300 pesos para personas menores de edad y $860 pesos para mayores, a $4.020 pesos y $2.814 pesos respectivamente</w:t>
      </w:r>
    </w:p>
  </w:footnote>
  <w:footnote w:id="112">
    <w:p w14:paraId="285BF8D0" w14:textId="38008DB1" w:rsidR="005E6206" w:rsidRDefault="005E6206" w:rsidP="003034EB">
      <w:pPr>
        <w:pStyle w:val="Textonotapie"/>
        <w:jc w:val="both"/>
      </w:pPr>
      <w:r>
        <w:rPr>
          <w:rStyle w:val="Refdenotaalpie"/>
        </w:rPr>
        <w:footnoteRef/>
      </w:r>
      <w:r>
        <w:t xml:space="preserve"> Acción judicial presentada por l</w:t>
      </w:r>
      <w:r w:rsidRPr="004E7D1F">
        <w:t>a Asociación Azul, bajo el patrocinio jurídico de la Clínica de Discapacidad y Derechos Humanos de la Facultad de Ciencias Jurídicas de la Universidad Nacional de La Plata (UNLP)</w:t>
      </w:r>
      <w:r>
        <w:t xml:space="preserve">. </w:t>
      </w:r>
    </w:p>
  </w:footnote>
  <w:footnote w:id="113">
    <w:p w14:paraId="49C4C938" w14:textId="3FC7417D" w:rsidR="005E6206" w:rsidRDefault="005E6206" w:rsidP="00482A08">
      <w:pPr>
        <w:pStyle w:val="Textonotapie"/>
        <w:jc w:val="both"/>
      </w:pPr>
      <w:r>
        <w:rPr>
          <w:rStyle w:val="Refdenotaalpie"/>
        </w:rPr>
        <w:footnoteRef/>
      </w:r>
      <w:r>
        <w:t xml:space="preserve"> L</w:t>
      </w:r>
      <w:r w:rsidRPr="00482A08">
        <w:t>o más valioso de la prestación “y a su vez extorsivo”, según definen los beneficiarios, es la cobertura de IOMA y las prestaciones que incluye.</w:t>
      </w:r>
    </w:p>
  </w:footnote>
  <w:footnote w:id="114">
    <w:p w14:paraId="5F4A5A26" w14:textId="77777777" w:rsidR="005E6206" w:rsidRDefault="005E6206" w:rsidP="00E413A2">
      <w:pPr>
        <w:pStyle w:val="Textonotapie"/>
      </w:pPr>
      <w:r>
        <w:rPr>
          <w:rStyle w:val="Refdenotaalpie"/>
        </w:rPr>
        <w:footnoteRef/>
      </w:r>
      <w:r>
        <w:t xml:space="preserve"> </w:t>
      </w:r>
      <w:hyperlink r:id="rId67" w:anchor=":~:text=El%20Ingreso%20familiar%20de%20emergencia,categor%C3%ADa%20A%20y%20B)%2C%20Monotributistas" w:history="1">
        <w:r w:rsidRPr="003A655F">
          <w:rPr>
            <w:rStyle w:val="Hipervnculo"/>
            <w:rFonts w:eastAsiaTheme="majorEastAsia"/>
          </w:rPr>
          <w:t>Ingreso familiar de emergencia (IFE)</w:t>
        </w:r>
      </w:hyperlink>
    </w:p>
  </w:footnote>
  <w:footnote w:id="115">
    <w:p w14:paraId="3288FA44" w14:textId="77777777" w:rsidR="005E6206" w:rsidRDefault="005E6206" w:rsidP="00C46EAE">
      <w:pPr>
        <w:pStyle w:val="Textonotapie"/>
      </w:pPr>
      <w:r>
        <w:rPr>
          <w:rStyle w:val="Refdenotaalpie"/>
        </w:rPr>
        <w:footnoteRef/>
      </w:r>
      <w:r>
        <w:t xml:space="preserve"> Código Nacional Electoral, Artículo </w:t>
      </w:r>
      <w:r w:rsidRPr="00DB2EBC">
        <w:t>3 Inc. a</w:t>
      </w:r>
      <w:r>
        <w:t xml:space="preserve">: </w:t>
      </w:r>
      <w:hyperlink r:id="rId68" w:history="1">
        <w:r w:rsidRPr="00DB2EBC">
          <w:rPr>
            <w:rStyle w:val="Hipervnculo"/>
            <w:rFonts w:eastAsiaTheme="majorEastAsia"/>
          </w:rPr>
          <w:t>link</w:t>
        </w:r>
      </w:hyperlink>
      <w:r>
        <w:t xml:space="preserve">. </w:t>
      </w:r>
      <w:r w:rsidRPr="00DB2EBC">
        <w:t xml:space="preserve"> </w:t>
      </w:r>
    </w:p>
  </w:footnote>
  <w:footnote w:id="116">
    <w:p w14:paraId="4BF5D9FF" w14:textId="77777777" w:rsidR="005E6206" w:rsidRDefault="005E6206" w:rsidP="00C46EAE">
      <w:pPr>
        <w:pStyle w:val="Textonotapie"/>
      </w:pPr>
      <w:r>
        <w:rPr>
          <w:rStyle w:val="Refdenotaalpie"/>
        </w:rPr>
        <w:footnoteRef/>
      </w:r>
      <w:r>
        <w:t xml:space="preserve"> Ley de partidos políticos, Artículo </w:t>
      </w:r>
      <w:r w:rsidRPr="00DB2EBC">
        <w:t>33 Inc. a</w:t>
      </w:r>
      <w:r>
        <w:t xml:space="preserve">: </w:t>
      </w:r>
      <w:hyperlink r:id="rId69" w:history="1">
        <w:r w:rsidRPr="00DB2EBC">
          <w:rPr>
            <w:rStyle w:val="Hipervnculo"/>
            <w:rFonts w:eastAsiaTheme="majorEastAsia"/>
          </w:rPr>
          <w:t>link</w:t>
        </w:r>
      </w:hyperlink>
      <w:r>
        <w:t xml:space="preserve">. </w:t>
      </w:r>
    </w:p>
  </w:footnote>
  <w:footnote w:id="117">
    <w:p w14:paraId="31B8D691" w14:textId="77777777" w:rsidR="005E6206" w:rsidRDefault="005E6206" w:rsidP="00C46EAE">
      <w:pPr>
        <w:pStyle w:val="Textonotapie"/>
        <w:jc w:val="both"/>
      </w:pPr>
      <w:r>
        <w:rPr>
          <w:rStyle w:val="Refdenotaalpie"/>
        </w:rPr>
        <w:footnoteRef/>
      </w:r>
      <w:r>
        <w:t xml:space="preserve"> P</w:t>
      </w:r>
      <w:r w:rsidRPr="0053387C">
        <w:t xml:space="preserve">or citar algunos ejemplos; art. 11 Código Electoral de Córdoba, art. 3 Ley electoral de la </w:t>
      </w:r>
      <w:r>
        <w:t>P</w:t>
      </w:r>
      <w:r w:rsidRPr="0053387C">
        <w:t xml:space="preserve">rovincia de </w:t>
      </w:r>
      <w:r>
        <w:t>Bu</w:t>
      </w:r>
      <w:r w:rsidRPr="0053387C">
        <w:t xml:space="preserve">enos </w:t>
      </w:r>
      <w:r>
        <w:t>A</w:t>
      </w:r>
      <w:r w:rsidRPr="0053387C">
        <w:t>ires, art. 5 Ley electoral de Rio Negro</w:t>
      </w:r>
      <w:r>
        <w:t xml:space="preserve">. </w:t>
      </w:r>
    </w:p>
  </w:footnote>
  <w:footnote w:id="118">
    <w:p w14:paraId="29199A95" w14:textId="77777777" w:rsidR="005E6206" w:rsidRPr="00915DDA" w:rsidRDefault="005E6206" w:rsidP="00C46EAE">
      <w:pPr>
        <w:pStyle w:val="Textonotapie"/>
        <w:rPr>
          <w:lang w:val="es-ES"/>
        </w:rPr>
      </w:pPr>
      <w:r>
        <w:rPr>
          <w:rStyle w:val="Refdenotaalpie"/>
        </w:rPr>
        <w:footnoteRef/>
      </w:r>
      <w:r>
        <w:t xml:space="preserve"> </w:t>
      </w:r>
      <w:r>
        <w:rPr>
          <w:lang w:val="es-ES"/>
        </w:rPr>
        <w:t xml:space="preserve">Ley 26.774, artículo 94. </w:t>
      </w:r>
      <w:r w:rsidRPr="00977191">
        <w:rPr>
          <w:lang w:val="es-ES"/>
        </w:rPr>
        <w:t>http://servicios.infoleg.gob.ar/infolegInternet/anexos/200000-204999/204176/norma.htm</w:t>
      </w:r>
    </w:p>
  </w:footnote>
  <w:footnote w:id="119">
    <w:p w14:paraId="6008D9E0" w14:textId="269CC914" w:rsidR="005E6206" w:rsidRDefault="005E6206" w:rsidP="00452D1E">
      <w:pPr>
        <w:pStyle w:val="Textonotapie"/>
      </w:pPr>
      <w:r>
        <w:rPr>
          <w:rStyle w:val="Refdenotaalpie"/>
        </w:rPr>
        <w:footnoteRef/>
      </w:r>
      <w:r>
        <w:t xml:space="preserve"> Cámara Nacional Electoral, Acordada 27/2015: </w:t>
      </w:r>
      <w:hyperlink r:id="rId70" w:history="1">
        <w:r w:rsidRPr="00452D1E">
          <w:rPr>
            <w:rStyle w:val="Hipervnculo"/>
          </w:rPr>
          <w:t>link.</w:t>
        </w:r>
      </w:hyperlink>
      <w:r>
        <w:t xml:space="preserve"> </w:t>
      </w:r>
    </w:p>
  </w:footnote>
  <w:footnote w:id="120">
    <w:p w14:paraId="40E1519A" w14:textId="77777777" w:rsidR="005E6206" w:rsidRDefault="005E6206" w:rsidP="00452D1E">
      <w:pPr>
        <w:spacing w:after="0" w:line="240" w:lineRule="auto"/>
        <w:jc w:val="both"/>
        <w:rPr>
          <w:sz w:val="20"/>
          <w:szCs w:val="20"/>
        </w:rPr>
      </w:pPr>
      <w:r>
        <w:rPr>
          <w:vertAlign w:val="superscript"/>
        </w:rPr>
        <w:footnoteRef/>
      </w:r>
      <w:r>
        <w:rPr>
          <w:sz w:val="20"/>
          <w:szCs w:val="20"/>
        </w:rPr>
        <w:t xml:space="preserve"> Uso equívoco del concepto de ajuste razonable: “Ajustes razonables sobre arquitectura patrimonial: que garanticen la circulación total y autónoma (rampas y veredas rampantes de acceso, baños accesibles, ascensores, senderos)”: </w:t>
      </w:r>
      <w:hyperlink r:id="rId71" w:history="1">
        <w:r w:rsidRPr="007914B5">
          <w:rPr>
            <w:rStyle w:val="Hipervnculo"/>
            <w:rFonts w:cstheme="minorBidi"/>
            <w:sz w:val="20"/>
            <w:szCs w:val="20"/>
          </w:rPr>
          <w:t>link.</w:t>
        </w:r>
      </w:hyperlink>
      <w:r>
        <w:rPr>
          <w:sz w:val="20"/>
          <w:szCs w:val="20"/>
        </w:rPr>
        <w:t xml:space="preserve"> </w:t>
      </w:r>
    </w:p>
  </w:footnote>
  <w:footnote w:id="121">
    <w:p w14:paraId="1F045D09" w14:textId="77777777" w:rsidR="005E6206" w:rsidRDefault="005E6206" w:rsidP="00452D1E">
      <w:pPr>
        <w:spacing w:after="0" w:line="240" w:lineRule="auto"/>
        <w:jc w:val="both"/>
        <w:rPr>
          <w:sz w:val="20"/>
          <w:szCs w:val="20"/>
        </w:rPr>
      </w:pPr>
      <w:r>
        <w:rPr>
          <w:vertAlign w:val="superscript"/>
        </w:rPr>
        <w:footnoteRef/>
      </w:r>
      <w:r>
        <w:rPr>
          <w:sz w:val="20"/>
          <w:szCs w:val="20"/>
        </w:rPr>
        <w:t xml:space="preserve"> </w:t>
      </w:r>
      <w:r w:rsidRPr="007914B5">
        <w:rPr>
          <w:sz w:val="20"/>
          <w:szCs w:val="20"/>
        </w:rPr>
        <w:t>Presenta</w:t>
      </w:r>
      <w:r>
        <w:rPr>
          <w:sz w:val="20"/>
          <w:szCs w:val="20"/>
        </w:rPr>
        <w:t>1</w:t>
      </w:r>
      <w:r w:rsidRPr="007914B5">
        <w:rPr>
          <w:sz w:val="20"/>
          <w:szCs w:val="20"/>
        </w:rPr>
        <w:t xml:space="preserve">ción del Programa de Accesibilidad y Derechos Humanos: </w:t>
      </w:r>
      <w:hyperlink r:id="rId72" w:history="1">
        <w:r w:rsidRPr="007914B5">
          <w:rPr>
            <w:rStyle w:val="Hipervnculo"/>
            <w:rFonts w:cstheme="minorBidi"/>
            <w:sz w:val="20"/>
            <w:szCs w:val="20"/>
          </w:rPr>
          <w:t>link.</w:t>
        </w:r>
      </w:hyperlink>
      <w:r>
        <w:rPr>
          <w:sz w:val="20"/>
          <w:szCs w:val="20"/>
        </w:rPr>
        <w:t xml:space="preserve"> </w:t>
      </w:r>
    </w:p>
  </w:footnote>
  <w:footnote w:id="122">
    <w:p w14:paraId="119263DC" w14:textId="3D7C7D44" w:rsidR="005E6206" w:rsidRDefault="005E6206" w:rsidP="00285D0F">
      <w:pPr>
        <w:pStyle w:val="Textonotapie"/>
        <w:jc w:val="both"/>
      </w:pPr>
      <w:r w:rsidRPr="007B3E75">
        <w:rPr>
          <w:rStyle w:val="Refdenotaalpie"/>
        </w:rPr>
        <w:footnoteRef/>
      </w:r>
      <w:r w:rsidRPr="007B3E75">
        <w:t xml:space="preserve"> </w:t>
      </w:r>
      <w:hyperlink r:id="rId73" w:history="1">
        <w:r w:rsidRPr="007B3E75">
          <w:rPr>
            <w:rStyle w:val="Hipervnculo"/>
            <w:rFonts w:eastAsiaTheme="majorEastAsia"/>
          </w:rPr>
          <w:t xml:space="preserve">Respuesta de Iguazú </w:t>
        </w:r>
        <w:proofErr w:type="spellStart"/>
        <w:r w:rsidRPr="007B3E75">
          <w:rPr>
            <w:rStyle w:val="Hipervnculo"/>
            <w:rFonts w:eastAsiaTheme="majorEastAsia"/>
          </w:rPr>
          <w:t>Jungle</w:t>
        </w:r>
        <w:proofErr w:type="spellEnd"/>
      </w:hyperlink>
      <w:r w:rsidRPr="007B3E75">
        <w:t>.</w:t>
      </w:r>
      <w:r>
        <w:t xml:space="preserve">  </w:t>
      </w:r>
    </w:p>
  </w:footnote>
  <w:footnote w:id="123">
    <w:p w14:paraId="39A63573" w14:textId="4E16395A" w:rsidR="005E6206" w:rsidRDefault="005E6206" w:rsidP="00285D0F">
      <w:pPr>
        <w:pStyle w:val="Textonotapie"/>
        <w:jc w:val="both"/>
      </w:pPr>
      <w:r>
        <w:rPr>
          <w:rStyle w:val="Refdenotaalpie"/>
        </w:rPr>
        <w:footnoteRef/>
      </w:r>
      <w:r>
        <w:t xml:space="preserve"> ANB, </w:t>
      </w:r>
      <w:hyperlink r:id="rId74" w:history="1">
        <w:r w:rsidRPr="00285D0F">
          <w:rPr>
            <w:rStyle w:val="Hipervnculo"/>
          </w:rPr>
          <w:t>“Cerro Otto: No dejaron subir a una pareja con discapacidad visual por no contar con acompañante”,</w:t>
        </w:r>
      </w:hyperlink>
      <w:r>
        <w:t xml:space="preserve"> 27 de agosto de 2022. </w:t>
      </w:r>
    </w:p>
  </w:footnote>
  <w:footnote w:id="124">
    <w:p w14:paraId="50C7C48F" w14:textId="264F7D0E" w:rsidR="005E6206" w:rsidRPr="00E2759F" w:rsidRDefault="005E6206" w:rsidP="00452D1E">
      <w:pPr>
        <w:pStyle w:val="Textonotapie"/>
        <w:jc w:val="both"/>
      </w:pPr>
      <w:r>
        <w:rPr>
          <w:rStyle w:val="Refdenotaalpie"/>
        </w:rPr>
        <w:footnoteRef/>
      </w:r>
      <w:r w:rsidRPr="00492501">
        <w:t>https://www.infobae.com/tendencias/2022/04/07/plazas-inclusivas-y-felices-espacios-que-suman-juegos-disenados-para-ninos-con-trastornos-del-espectro-autista/#:~:text=Plazas%20inclusivas%20y%20felices%3A%20espacios,Trastornos%20del%20Espectro%20Autista%20%2D%20Infobae</w:t>
      </w:r>
    </w:p>
  </w:footnote>
  <w:footnote w:id="125">
    <w:p w14:paraId="6F402317" w14:textId="3F8E2FC5" w:rsidR="005E6206" w:rsidRDefault="005E6206" w:rsidP="00E413A2">
      <w:pPr>
        <w:pStyle w:val="Textonotapie"/>
        <w:jc w:val="both"/>
      </w:pPr>
      <w:r>
        <w:rPr>
          <w:rStyle w:val="Refdenotaalpie"/>
        </w:rPr>
        <w:footnoteRef/>
      </w:r>
      <w:r>
        <w:t xml:space="preserve"> Observatorio de la Discapacidad: </w:t>
      </w:r>
      <w:hyperlink r:id="rId75" w:history="1">
        <w:r w:rsidRPr="00711A77">
          <w:rPr>
            <w:rStyle w:val="Hipervnculo"/>
          </w:rPr>
          <w:t>link.</w:t>
        </w:r>
      </w:hyperlink>
      <w:r>
        <w:t xml:space="preserve"> </w:t>
      </w:r>
    </w:p>
  </w:footnote>
  <w:footnote w:id="126">
    <w:p w14:paraId="0A8F0B24" w14:textId="41950553" w:rsidR="005E6206" w:rsidRDefault="005E6206" w:rsidP="00E413A2">
      <w:pPr>
        <w:pStyle w:val="Textonotapie"/>
        <w:jc w:val="both"/>
      </w:pPr>
      <w:r>
        <w:rPr>
          <w:rStyle w:val="Refdenotaalpie"/>
        </w:rPr>
        <w:footnoteRef/>
      </w:r>
      <w:r>
        <w:t xml:space="preserve"> </w:t>
      </w:r>
      <w:r w:rsidRPr="001B130C">
        <w:rPr>
          <w:lang w:val="es-ES"/>
        </w:rPr>
        <w:t>En dicha oportunidad se observó que, “</w:t>
      </w:r>
      <w:r w:rsidRPr="001B130C">
        <w:rPr>
          <w:i/>
          <w:iCs/>
          <w:lang w:val="es-ES"/>
        </w:rPr>
        <w:t xml:space="preserve">la Comisión Nacional Asesora para la Integración de las </w:t>
      </w:r>
      <w:r>
        <w:rPr>
          <w:i/>
          <w:iCs/>
          <w:lang w:val="es-ES"/>
        </w:rPr>
        <w:t>PCD</w:t>
      </w:r>
      <w:r w:rsidRPr="001B130C">
        <w:rPr>
          <w:i/>
          <w:iCs/>
          <w:lang w:val="es-ES"/>
        </w:rPr>
        <w:t xml:space="preserve"> (CONADIS) no cuenta con la jerarquía institucional necesaria para llevar a cabo eficazmente sus funciones como el mecanismo facilitador y coordinador de las cuestiones relativas a la aplicación de la Convención en todos los niveles y sectores del gobierno. El Comité también observa con preocupación que el Observatorio de la Discapacidad, cuyo mandato es la supervisión de la aplicación de la Convención, es un organismo dependiente de la CONADIS, lo cual contraviene lo dispuesto en el párrafo 2 del artículo 33 de la Convención y los Principios de París”.</w:t>
      </w:r>
    </w:p>
  </w:footnote>
  <w:footnote w:id="127">
    <w:p w14:paraId="2CAB1934" w14:textId="71B69645" w:rsidR="005E6206" w:rsidRDefault="005E6206" w:rsidP="00E413A2">
      <w:pPr>
        <w:pStyle w:val="Textonotapie"/>
        <w:jc w:val="both"/>
      </w:pPr>
      <w:r>
        <w:rPr>
          <w:rStyle w:val="Refdenotaalpie"/>
        </w:rPr>
        <w:footnoteRef/>
      </w:r>
      <w:r>
        <w:t xml:space="preserve">  Recomendaciones para un Observatorio Nacional sobre los Derechos de las PCD: </w:t>
      </w:r>
      <w:hyperlink r:id="rId76" w:history="1">
        <w:r w:rsidRPr="00711A77">
          <w:rPr>
            <w:rStyle w:val="Hipervnculo"/>
          </w:rPr>
          <w:t xml:space="preserve">link. </w:t>
        </w:r>
      </w:hyperlink>
      <w:r>
        <w:t xml:space="preserve"> </w:t>
      </w:r>
    </w:p>
    <w:p w14:paraId="3AF2B16A" w14:textId="77777777" w:rsidR="005E6206" w:rsidRDefault="005E6206" w:rsidP="00E413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7F17" w14:textId="60514125" w:rsidR="005E6206" w:rsidRDefault="005E62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A32"/>
    <w:multiLevelType w:val="hybridMultilevel"/>
    <w:tmpl w:val="0FC69418"/>
    <w:lvl w:ilvl="0" w:tplc="2C0A000F">
      <w:start w:val="1"/>
      <w:numFmt w:val="decimal"/>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1">
    <w:nsid w:val="08740A1A"/>
    <w:multiLevelType w:val="hybridMultilevel"/>
    <w:tmpl w:val="270A2340"/>
    <w:lvl w:ilvl="0" w:tplc="CAE8D2C4">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964861"/>
    <w:multiLevelType w:val="hybridMultilevel"/>
    <w:tmpl w:val="20E2D438"/>
    <w:lvl w:ilvl="0" w:tplc="AB685868">
      <w:start w:val="1"/>
      <w:numFmt w:val="decimal"/>
      <w:lvlText w:val="%1."/>
      <w:lvlJc w:val="left"/>
      <w:pPr>
        <w:ind w:left="720" w:hanging="360"/>
      </w:pPr>
      <w:rPr>
        <w:rFonts w:ascii="Calibri" w:eastAsiaTheme="minorHAnsi" w:hAnsi="Calibri" w:cs="Calibri" w:hint="default"/>
        <w:i w:val="0"/>
        <w:color w:val="1F497D"/>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D44287E"/>
    <w:multiLevelType w:val="hybridMultilevel"/>
    <w:tmpl w:val="67163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A71B5"/>
    <w:multiLevelType w:val="hybridMultilevel"/>
    <w:tmpl w:val="1BFA90B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11521C22"/>
    <w:multiLevelType w:val="hybridMultilevel"/>
    <w:tmpl w:val="1ED4321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3E01EE3"/>
    <w:multiLevelType w:val="hybridMultilevel"/>
    <w:tmpl w:val="0FB4A9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42B6E13"/>
    <w:multiLevelType w:val="hybridMultilevel"/>
    <w:tmpl w:val="4D10C06A"/>
    <w:lvl w:ilvl="0" w:tplc="792644F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197F545F"/>
    <w:multiLevelType w:val="hybridMultilevel"/>
    <w:tmpl w:val="177C6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A6CDC"/>
    <w:multiLevelType w:val="hybridMultilevel"/>
    <w:tmpl w:val="8AFC7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D3F2525"/>
    <w:multiLevelType w:val="hybridMultilevel"/>
    <w:tmpl w:val="02668310"/>
    <w:lvl w:ilvl="0" w:tplc="E21A9CA6">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1">
    <w:nsid w:val="23076EDD"/>
    <w:multiLevelType w:val="hybridMultilevel"/>
    <w:tmpl w:val="248A22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6E31607"/>
    <w:multiLevelType w:val="hybridMultilevel"/>
    <w:tmpl w:val="8AFC7C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80A45D9"/>
    <w:multiLevelType w:val="hybridMultilevel"/>
    <w:tmpl w:val="9FAE7E4A"/>
    <w:lvl w:ilvl="0" w:tplc="27C4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B6F0F80"/>
    <w:multiLevelType w:val="hybridMultilevel"/>
    <w:tmpl w:val="BA607D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2F091B1E"/>
    <w:multiLevelType w:val="hybridMultilevel"/>
    <w:tmpl w:val="52C017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40314A4"/>
    <w:multiLevelType w:val="hybridMultilevel"/>
    <w:tmpl w:val="675214A0"/>
    <w:lvl w:ilvl="0" w:tplc="E640AA4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340C5F35"/>
    <w:multiLevelType w:val="hybridMultilevel"/>
    <w:tmpl w:val="EC0C4CD2"/>
    <w:lvl w:ilvl="0" w:tplc="A7A6FE2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63263D0"/>
    <w:multiLevelType w:val="hybridMultilevel"/>
    <w:tmpl w:val="07AEF3A2"/>
    <w:lvl w:ilvl="0" w:tplc="0644C3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6E35DBA"/>
    <w:multiLevelType w:val="hybridMultilevel"/>
    <w:tmpl w:val="E72C38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7ED2B36"/>
    <w:multiLevelType w:val="hybridMultilevel"/>
    <w:tmpl w:val="C79AF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51B4E"/>
    <w:multiLevelType w:val="hybridMultilevel"/>
    <w:tmpl w:val="4EFA1EDA"/>
    <w:lvl w:ilvl="0" w:tplc="FEF81D8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3083934"/>
    <w:multiLevelType w:val="hybridMultilevel"/>
    <w:tmpl w:val="8CCE5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A52715"/>
    <w:multiLevelType w:val="hybridMultilevel"/>
    <w:tmpl w:val="CB922918"/>
    <w:lvl w:ilvl="0" w:tplc="8966999E">
      <w:start w:val="1"/>
      <w:numFmt w:val="decimal"/>
      <w:lvlText w:val="%1."/>
      <w:lvlJc w:val="left"/>
      <w:pPr>
        <w:ind w:left="717" w:hanging="360"/>
      </w:pPr>
      <w:rPr>
        <w:rFonts w:hint="default"/>
      </w:r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24">
    <w:nsid w:val="44F822DD"/>
    <w:multiLevelType w:val="hybridMultilevel"/>
    <w:tmpl w:val="4838D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9365A5"/>
    <w:multiLevelType w:val="hybridMultilevel"/>
    <w:tmpl w:val="7E7AAE3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B084481"/>
    <w:multiLevelType w:val="hybridMultilevel"/>
    <w:tmpl w:val="9420F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6A5F80"/>
    <w:multiLevelType w:val="hybridMultilevel"/>
    <w:tmpl w:val="E94CB3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0D53063"/>
    <w:multiLevelType w:val="hybridMultilevel"/>
    <w:tmpl w:val="C5A4A962"/>
    <w:lvl w:ilvl="0" w:tplc="4C18C0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3C0C3E"/>
    <w:multiLevelType w:val="multilevel"/>
    <w:tmpl w:val="C550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FA0886"/>
    <w:multiLevelType w:val="hybridMultilevel"/>
    <w:tmpl w:val="BE1C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73D2A"/>
    <w:multiLevelType w:val="hybridMultilevel"/>
    <w:tmpl w:val="AA668E34"/>
    <w:lvl w:ilvl="0" w:tplc="485C70AE">
      <w:start w:val="1"/>
      <w:numFmt w:val="decimal"/>
      <w:lvlText w:val="%1"/>
      <w:lvlJc w:val="left"/>
      <w:pPr>
        <w:ind w:left="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6F4081D"/>
    <w:multiLevelType w:val="hybridMultilevel"/>
    <w:tmpl w:val="EF60C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B84DAE"/>
    <w:multiLevelType w:val="multilevel"/>
    <w:tmpl w:val="8AB8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03BEE"/>
    <w:multiLevelType w:val="hybridMultilevel"/>
    <w:tmpl w:val="23B2A9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58E3232"/>
    <w:multiLevelType w:val="hybridMultilevel"/>
    <w:tmpl w:val="70B4070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6">
    <w:nsid w:val="72544B6B"/>
    <w:multiLevelType w:val="hybridMultilevel"/>
    <w:tmpl w:val="23E0B2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62379E"/>
    <w:multiLevelType w:val="hybridMultilevel"/>
    <w:tmpl w:val="19DEB7A6"/>
    <w:lvl w:ilvl="0" w:tplc="34146DC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3960E63"/>
    <w:multiLevelType w:val="hybridMultilevel"/>
    <w:tmpl w:val="1C2290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7CEA61D0"/>
    <w:multiLevelType w:val="hybridMultilevel"/>
    <w:tmpl w:val="417448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D737CDA"/>
    <w:multiLevelType w:val="hybridMultilevel"/>
    <w:tmpl w:val="A0D0EDCA"/>
    <w:lvl w:ilvl="0" w:tplc="485C70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30"/>
  </w:num>
  <w:num w:numId="5">
    <w:abstractNumId w:val="19"/>
  </w:num>
  <w:num w:numId="6">
    <w:abstractNumId w:val="12"/>
  </w:num>
  <w:num w:numId="7">
    <w:abstractNumId w:val="34"/>
  </w:num>
  <w:num w:numId="8">
    <w:abstractNumId w:val="9"/>
  </w:num>
  <w:num w:numId="9">
    <w:abstractNumId w:val="16"/>
  </w:num>
  <w:num w:numId="10">
    <w:abstractNumId w:val="14"/>
  </w:num>
  <w:num w:numId="11">
    <w:abstractNumId w:val="15"/>
  </w:num>
  <w:num w:numId="12">
    <w:abstractNumId w:val="38"/>
  </w:num>
  <w:num w:numId="13">
    <w:abstractNumId w:val="27"/>
  </w:num>
  <w:num w:numId="14">
    <w:abstractNumId w:val="0"/>
  </w:num>
  <w:num w:numId="15">
    <w:abstractNumId w:val="10"/>
  </w:num>
  <w:num w:numId="16">
    <w:abstractNumId w:val="11"/>
  </w:num>
  <w:num w:numId="17">
    <w:abstractNumId w:val="1"/>
  </w:num>
  <w:num w:numId="18">
    <w:abstractNumId w:val="25"/>
  </w:num>
  <w:num w:numId="19">
    <w:abstractNumId w:val="5"/>
  </w:num>
  <w:num w:numId="20">
    <w:abstractNumId w:val="39"/>
  </w:num>
  <w:num w:numId="21">
    <w:abstractNumId w:val="6"/>
  </w:num>
  <w:num w:numId="22">
    <w:abstractNumId w:val="8"/>
  </w:num>
  <w:num w:numId="23">
    <w:abstractNumId w:val="28"/>
  </w:num>
  <w:num w:numId="24">
    <w:abstractNumId w:val="40"/>
  </w:num>
  <w:num w:numId="25">
    <w:abstractNumId w:val="37"/>
  </w:num>
  <w:num w:numId="26">
    <w:abstractNumId w:val="17"/>
  </w:num>
  <w:num w:numId="27">
    <w:abstractNumId w:val="21"/>
  </w:num>
  <w:num w:numId="28">
    <w:abstractNumId w:val="13"/>
  </w:num>
  <w:num w:numId="29">
    <w:abstractNumId w:val="18"/>
  </w:num>
  <w:num w:numId="30">
    <w:abstractNumId w:val="2"/>
  </w:num>
  <w:num w:numId="31">
    <w:abstractNumId w:val="31"/>
  </w:num>
  <w:num w:numId="32">
    <w:abstractNumId w:val="7"/>
  </w:num>
  <w:num w:numId="33">
    <w:abstractNumId w:val="23"/>
  </w:num>
  <w:num w:numId="34">
    <w:abstractNumId w:val="3"/>
  </w:num>
  <w:num w:numId="35">
    <w:abstractNumId w:val="22"/>
  </w:num>
  <w:num w:numId="36">
    <w:abstractNumId w:val="36"/>
  </w:num>
  <w:num w:numId="37">
    <w:abstractNumId w:val="20"/>
  </w:num>
  <w:num w:numId="38">
    <w:abstractNumId w:val="24"/>
  </w:num>
  <w:num w:numId="39">
    <w:abstractNumId w:val="32"/>
  </w:num>
  <w:num w:numId="40">
    <w:abstractNumId w:val="4"/>
  </w:num>
  <w:num w:numId="41">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Ignacio Perez Bello">
    <w15:presenceInfo w15:providerId="AD" w15:userId="S::jperez@idaworld.onmicrosoft.com::282456b9-cf8b-4c41-ba8a-c445f9d7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A2"/>
    <w:rsid w:val="000026AF"/>
    <w:rsid w:val="00003289"/>
    <w:rsid w:val="0000363E"/>
    <w:rsid w:val="00004DEC"/>
    <w:rsid w:val="0000584E"/>
    <w:rsid w:val="000117D0"/>
    <w:rsid w:val="00012615"/>
    <w:rsid w:val="00012CDB"/>
    <w:rsid w:val="00022325"/>
    <w:rsid w:val="00026B0A"/>
    <w:rsid w:val="00026B99"/>
    <w:rsid w:val="00027BA6"/>
    <w:rsid w:val="00030F72"/>
    <w:rsid w:val="000334D4"/>
    <w:rsid w:val="0003774D"/>
    <w:rsid w:val="00046F61"/>
    <w:rsid w:val="0005009B"/>
    <w:rsid w:val="000534F4"/>
    <w:rsid w:val="000558C5"/>
    <w:rsid w:val="00057259"/>
    <w:rsid w:val="00057778"/>
    <w:rsid w:val="00057FDF"/>
    <w:rsid w:val="00062348"/>
    <w:rsid w:val="00063590"/>
    <w:rsid w:val="000637B3"/>
    <w:rsid w:val="00067A51"/>
    <w:rsid w:val="000704EF"/>
    <w:rsid w:val="00071C2F"/>
    <w:rsid w:val="00075BB7"/>
    <w:rsid w:val="000765C3"/>
    <w:rsid w:val="00081E96"/>
    <w:rsid w:val="000859B1"/>
    <w:rsid w:val="00095904"/>
    <w:rsid w:val="0009653C"/>
    <w:rsid w:val="000A117C"/>
    <w:rsid w:val="000A1DA5"/>
    <w:rsid w:val="000A3890"/>
    <w:rsid w:val="000B437D"/>
    <w:rsid w:val="000B4495"/>
    <w:rsid w:val="000C0D42"/>
    <w:rsid w:val="000C216A"/>
    <w:rsid w:val="000C6B0A"/>
    <w:rsid w:val="000C6B24"/>
    <w:rsid w:val="000C7303"/>
    <w:rsid w:val="000D22BC"/>
    <w:rsid w:val="000D34CE"/>
    <w:rsid w:val="000D7899"/>
    <w:rsid w:val="000E16BD"/>
    <w:rsid w:val="000E3BAB"/>
    <w:rsid w:val="000E49CA"/>
    <w:rsid w:val="000E5BEE"/>
    <w:rsid w:val="000F082F"/>
    <w:rsid w:val="000F0BC8"/>
    <w:rsid w:val="000F3C7C"/>
    <w:rsid w:val="000F728E"/>
    <w:rsid w:val="00104389"/>
    <w:rsid w:val="001054FE"/>
    <w:rsid w:val="00106771"/>
    <w:rsid w:val="0010687A"/>
    <w:rsid w:val="001074F9"/>
    <w:rsid w:val="0010796E"/>
    <w:rsid w:val="00110211"/>
    <w:rsid w:val="00110784"/>
    <w:rsid w:val="001140D5"/>
    <w:rsid w:val="00117D59"/>
    <w:rsid w:val="0012247C"/>
    <w:rsid w:val="00125AC2"/>
    <w:rsid w:val="001344C5"/>
    <w:rsid w:val="00136F68"/>
    <w:rsid w:val="0013755B"/>
    <w:rsid w:val="00137AE2"/>
    <w:rsid w:val="001434F3"/>
    <w:rsid w:val="001447BB"/>
    <w:rsid w:val="001513A6"/>
    <w:rsid w:val="0015169D"/>
    <w:rsid w:val="00152A0E"/>
    <w:rsid w:val="00154AD0"/>
    <w:rsid w:val="00157872"/>
    <w:rsid w:val="001600BF"/>
    <w:rsid w:val="00160755"/>
    <w:rsid w:val="00160C29"/>
    <w:rsid w:val="001616E0"/>
    <w:rsid w:val="001656A4"/>
    <w:rsid w:val="00165834"/>
    <w:rsid w:val="00165DB4"/>
    <w:rsid w:val="00167E97"/>
    <w:rsid w:val="00170D04"/>
    <w:rsid w:val="00171F22"/>
    <w:rsid w:val="00172F9D"/>
    <w:rsid w:val="00180CC3"/>
    <w:rsid w:val="001837FA"/>
    <w:rsid w:val="001908CC"/>
    <w:rsid w:val="00191ABC"/>
    <w:rsid w:val="00192C01"/>
    <w:rsid w:val="00193A65"/>
    <w:rsid w:val="001940F8"/>
    <w:rsid w:val="00194FD9"/>
    <w:rsid w:val="001972DB"/>
    <w:rsid w:val="00197ACF"/>
    <w:rsid w:val="001A0951"/>
    <w:rsid w:val="001A0FE6"/>
    <w:rsid w:val="001A64BF"/>
    <w:rsid w:val="001B1FBF"/>
    <w:rsid w:val="001B5814"/>
    <w:rsid w:val="001B60EE"/>
    <w:rsid w:val="001B74CF"/>
    <w:rsid w:val="001B771F"/>
    <w:rsid w:val="001C166C"/>
    <w:rsid w:val="001C19AD"/>
    <w:rsid w:val="001C384E"/>
    <w:rsid w:val="001C409F"/>
    <w:rsid w:val="001C5147"/>
    <w:rsid w:val="001C6EFB"/>
    <w:rsid w:val="001D1D9E"/>
    <w:rsid w:val="001D45B1"/>
    <w:rsid w:val="001D49AF"/>
    <w:rsid w:val="001D5824"/>
    <w:rsid w:val="001D5AA7"/>
    <w:rsid w:val="001E1551"/>
    <w:rsid w:val="001E64BD"/>
    <w:rsid w:val="001E6D06"/>
    <w:rsid w:val="001F05D7"/>
    <w:rsid w:val="001F4C0D"/>
    <w:rsid w:val="001F5105"/>
    <w:rsid w:val="001F56FB"/>
    <w:rsid w:val="00201214"/>
    <w:rsid w:val="00202A40"/>
    <w:rsid w:val="002055FB"/>
    <w:rsid w:val="0021647C"/>
    <w:rsid w:val="002177B4"/>
    <w:rsid w:val="0022029E"/>
    <w:rsid w:val="00221835"/>
    <w:rsid w:val="00221DC3"/>
    <w:rsid w:val="0022417E"/>
    <w:rsid w:val="002246D3"/>
    <w:rsid w:val="00231B69"/>
    <w:rsid w:val="00233D77"/>
    <w:rsid w:val="00242226"/>
    <w:rsid w:val="00244A91"/>
    <w:rsid w:val="002465D5"/>
    <w:rsid w:val="002466E1"/>
    <w:rsid w:val="0024682B"/>
    <w:rsid w:val="002468A9"/>
    <w:rsid w:val="00247E79"/>
    <w:rsid w:val="00247F8C"/>
    <w:rsid w:val="00254888"/>
    <w:rsid w:val="00260B96"/>
    <w:rsid w:val="002701C9"/>
    <w:rsid w:val="00272FDE"/>
    <w:rsid w:val="00273335"/>
    <w:rsid w:val="00277707"/>
    <w:rsid w:val="002811A9"/>
    <w:rsid w:val="002813E7"/>
    <w:rsid w:val="00281F08"/>
    <w:rsid w:val="00285D0F"/>
    <w:rsid w:val="00287537"/>
    <w:rsid w:val="002901FE"/>
    <w:rsid w:val="0029162E"/>
    <w:rsid w:val="00292532"/>
    <w:rsid w:val="0029297B"/>
    <w:rsid w:val="00293810"/>
    <w:rsid w:val="00294AD2"/>
    <w:rsid w:val="00295B00"/>
    <w:rsid w:val="00297E1B"/>
    <w:rsid w:val="002A1C6E"/>
    <w:rsid w:val="002A3869"/>
    <w:rsid w:val="002A63B0"/>
    <w:rsid w:val="002B2DCF"/>
    <w:rsid w:val="002B4ED8"/>
    <w:rsid w:val="002B79BC"/>
    <w:rsid w:val="002B7F0C"/>
    <w:rsid w:val="002C6D38"/>
    <w:rsid w:val="002D730E"/>
    <w:rsid w:val="002D79FB"/>
    <w:rsid w:val="002E233E"/>
    <w:rsid w:val="002E46E9"/>
    <w:rsid w:val="002E75BF"/>
    <w:rsid w:val="002F0EA0"/>
    <w:rsid w:val="002F4D5E"/>
    <w:rsid w:val="002F5F22"/>
    <w:rsid w:val="002F5F26"/>
    <w:rsid w:val="002F6B0D"/>
    <w:rsid w:val="0030026C"/>
    <w:rsid w:val="00301363"/>
    <w:rsid w:val="003034EB"/>
    <w:rsid w:val="003041CB"/>
    <w:rsid w:val="003048FE"/>
    <w:rsid w:val="0030559F"/>
    <w:rsid w:val="00306D30"/>
    <w:rsid w:val="00307202"/>
    <w:rsid w:val="00310254"/>
    <w:rsid w:val="00311610"/>
    <w:rsid w:val="00312266"/>
    <w:rsid w:val="00312510"/>
    <w:rsid w:val="00313A43"/>
    <w:rsid w:val="00314956"/>
    <w:rsid w:val="00314A40"/>
    <w:rsid w:val="00321131"/>
    <w:rsid w:val="0032191F"/>
    <w:rsid w:val="00322875"/>
    <w:rsid w:val="003238AC"/>
    <w:rsid w:val="00323BD6"/>
    <w:rsid w:val="00326441"/>
    <w:rsid w:val="003277F2"/>
    <w:rsid w:val="00334792"/>
    <w:rsid w:val="0033790D"/>
    <w:rsid w:val="003400E2"/>
    <w:rsid w:val="00340BCB"/>
    <w:rsid w:val="00346CF6"/>
    <w:rsid w:val="00350FF5"/>
    <w:rsid w:val="00354764"/>
    <w:rsid w:val="003557ED"/>
    <w:rsid w:val="00361ABE"/>
    <w:rsid w:val="00364C56"/>
    <w:rsid w:val="00366E3F"/>
    <w:rsid w:val="00370763"/>
    <w:rsid w:val="003710DB"/>
    <w:rsid w:val="003820D1"/>
    <w:rsid w:val="0038379E"/>
    <w:rsid w:val="003901CD"/>
    <w:rsid w:val="00393AA2"/>
    <w:rsid w:val="003952A0"/>
    <w:rsid w:val="003A31F3"/>
    <w:rsid w:val="003A3760"/>
    <w:rsid w:val="003A4393"/>
    <w:rsid w:val="003A5DE6"/>
    <w:rsid w:val="003A69D5"/>
    <w:rsid w:val="003B3D22"/>
    <w:rsid w:val="003B4832"/>
    <w:rsid w:val="003B5755"/>
    <w:rsid w:val="003B6ECE"/>
    <w:rsid w:val="003B6F4F"/>
    <w:rsid w:val="003B6FDB"/>
    <w:rsid w:val="003C128F"/>
    <w:rsid w:val="003C4730"/>
    <w:rsid w:val="003C491C"/>
    <w:rsid w:val="003C591C"/>
    <w:rsid w:val="003C6240"/>
    <w:rsid w:val="003C759C"/>
    <w:rsid w:val="003D0CDD"/>
    <w:rsid w:val="003D1A86"/>
    <w:rsid w:val="003D433F"/>
    <w:rsid w:val="003D7259"/>
    <w:rsid w:val="003E3848"/>
    <w:rsid w:val="003E6FA4"/>
    <w:rsid w:val="003F0689"/>
    <w:rsid w:val="003F266C"/>
    <w:rsid w:val="003F2E26"/>
    <w:rsid w:val="003F3056"/>
    <w:rsid w:val="003F310B"/>
    <w:rsid w:val="003F612F"/>
    <w:rsid w:val="00400859"/>
    <w:rsid w:val="00403154"/>
    <w:rsid w:val="00405B44"/>
    <w:rsid w:val="00406178"/>
    <w:rsid w:val="0041100E"/>
    <w:rsid w:val="00411568"/>
    <w:rsid w:val="004157EB"/>
    <w:rsid w:val="00415DF2"/>
    <w:rsid w:val="00415F98"/>
    <w:rsid w:val="00421243"/>
    <w:rsid w:val="00422E00"/>
    <w:rsid w:val="0043135E"/>
    <w:rsid w:val="00434713"/>
    <w:rsid w:val="00437B8E"/>
    <w:rsid w:val="00440058"/>
    <w:rsid w:val="00442612"/>
    <w:rsid w:val="00452D1E"/>
    <w:rsid w:val="0045392B"/>
    <w:rsid w:val="00454D5A"/>
    <w:rsid w:val="00460AB8"/>
    <w:rsid w:val="00462CA6"/>
    <w:rsid w:val="00474CB0"/>
    <w:rsid w:val="0047690E"/>
    <w:rsid w:val="00482A08"/>
    <w:rsid w:val="00483150"/>
    <w:rsid w:val="00483E1F"/>
    <w:rsid w:val="00490973"/>
    <w:rsid w:val="00491C1C"/>
    <w:rsid w:val="00491EDD"/>
    <w:rsid w:val="00492501"/>
    <w:rsid w:val="00492A4D"/>
    <w:rsid w:val="00496301"/>
    <w:rsid w:val="0049712E"/>
    <w:rsid w:val="004A0FD7"/>
    <w:rsid w:val="004A44CF"/>
    <w:rsid w:val="004A48D6"/>
    <w:rsid w:val="004B137B"/>
    <w:rsid w:val="004B208B"/>
    <w:rsid w:val="004B23B3"/>
    <w:rsid w:val="004B7796"/>
    <w:rsid w:val="004B7A6B"/>
    <w:rsid w:val="004C12B1"/>
    <w:rsid w:val="004C4972"/>
    <w:rsid w:val="004C5E67"/>
    <w:rsid w:val="004C6642"/>
    <w:rsid w:val="004D0C35"/>
    <w:rsid w:val="004D0E82"/>
    <w:rsid w:val="004D1E15"/>
    <w:rsid w:val="004D3061"/>
    <w:rsid w:val="004D42BD"/>
    <w:rsid w:val="004D6DDA"/>
    <w:rsid w:val="004E46CC"/>
    <w:rsid w:val="004E6E4C"/>
    <w:rsid w:val="004E7D1F"/>
    <w:rsid w:val="005028B9"/>
    <w:rsid w:val="00503EF6"/>
    <w:rsid w:val="00505D1A"/>
    <w:rsid w:val="00507705"/>
    <w:rsid w:val="00512614"/>
    <w:rsid w:val="005133D5"/>
    <w:rsid w:val="0051374B"/>
    <w:rsid w:val="00514CBC"/>
    <w:rsid w:val="00517562"/>
    <w:rsid w:val="005214ED"/>
    <w:rsid w:val="005279B3"/>
    <w:rsid w:val="0053074A"/>
    <w:rsid w:val="00533C8D"/>
    <w:rsid w:val="00537230"/>
    <w:rsid w:val="00537C43"/>
    <w:rsid w:val="00537DD3"/>
    <w:rsid w:val="00543E23"/>
    <w:rsid w:val="005456A8"/>
    <w:rsid w:val="00546A37"/>
    <w:rsid w:val="00564983"/>
    <w:rsid w:val="005712CD"/>
    <w:rsid w:val="00577010"/>
    <w:rsid w:val="005805E6"/>
    <w:rsid w:val="00584437"/>
    <w:rsid w:val="00585AF1"/>
    <w:rsid w:val="00590F3B"/>
    <w:rsid w:val="005932A5"/>
    <w:rsid w:val="005A11C5"/>
    <w:rsid w:val="005A140D"/>
    <w:rsid w:val="005A1C57"/>
    <w:rsid w:val="005A3DF4"/>
    <w:rsid w:val="005A7A91"/>
    <w:rsid w:val="005A7C9A"/>
    <w:rsid w:val="005B1C4E"/>
    <w:rsid w:val="005C1197"/>
    <w:rsid w:val="005C140C"/>
    <w:rsid w:val="005C1570"/>
    <w:rsid w:val="005C1B3D"/>
    <w:rsid w:val="005C1FC5"/>
    <w:rsid w:val="005C3A78"/>
    <w:rsid w:val="005C4799"/>
    <w:rsid w:val="005C47B4"/>
    <w:rsid w:val="005C49A8"/>
    <w:rsid w:val="005C5852"/>
    <w:rsid w:val="005C690D"/>
    <w:rsid w:val="005D65CB"/>
    <w:rsid w:val="005D6E89"/>
    <w:rsid w:val="005D7713"/>
    <w:rsid w:val="005E006D"/>
    <w:rsid w:val="005E10EF"/>
    <w:rsid w:val="005E6206"/>
    <w:rsid w:val="005E7822"/>
    <w:rsid w:val="005F3B26"/>
    <w:rsid w:val="005F60BD"/>
    <w:rsid w:val="0060090F"/>
    <w:rsid w:val="00600D59"/>
    <w:rsid w:val="006052EF"/>
    <w:rsid w:val="006114CC"/>
    <w:rsid w:val="00624EA9"/>
    <w:rsid w:val="006300C3"/>
    <w:rsid w:val="00630AAD"/>
    <w:rsid w:val="00631777"/>
    <w:rsid w:val="006334A2"/>
    <w:rsid w:val="0063487C"/>
    <w:rsid w:val="00636039"/>
    <w:rsid w:val="00637BEE"/>
    <w:rsid w:val="00644EFE"/>
    <w:rsid w:val="00645462"/>
    <w:rsid w:val="006504AF"/>
    <w:rsid w:val="0066235F"/>
    <w:rsid w:val="00672E92"/>
    <w:rsid w:val="00672F38"/>
    <w:rsid w:val="00677C54"/>
    <w:rsid w:val="00681AED"/>
    <w:rsid w:val="00681BF1"/>
    <w:rsid w:val="00682D43"/>
    <w:rsid w:val="006857B3"/>
    <w:rsid w:val="00686502"/>
    <w:rsid w:val="00692075"/>
    <w:rsid w:val="006A0CE3"/>
    <w:rsid w:val="006A1929"/>
    <w:rsid w:val="006A401C"/>
    <w:rsid w:val="006A6D3B"/>
    <w:rsid w:val="006A7713"/>
    <w:rsid w:val="006B40C2"/>
    <w:rsid w:val="006B5948"/>
    <w:rsid w:val="006C04D5"/>
    <w:rsid w:val="006C4EAC"/>
    <w:rsid w:val="006C7F68"/>
    <w:rsid w:val="006D2761"/>
    <w:rsid w:val="006D3C37"/>
    <w:rsid w:val="006D4FA0"/>
    <w:rsid w:val="006D7CEF"/>
    <w:rsid w:val="006E0E00"/>
    <w:rsid w:val="006E294E"/>
    <w:rsid w:val="006E4503"/>
    <w:rsid w:val="006E598B"/>
    <w:rsid w:val="006E7B4D"/>
    <w:rsid w:val="006F3CF9"/>
    <w:rsid w:val="006F58B0"/>
    <w:rsid w:val="006F5FFD"/>
    <w:rsid w:val="006F7DFA"/>
    <w:rsid w:val="00700A5D"/>
    <w:rsid w:val="00700B70"/>
    <w:rsid w:val="00700F9E"/>
    <w:rsid w:val="00700FEA"/>
    <w:rsid w:val="0070508E"/>
    <w:rsid w:val="00707CA8"/>
    <w:rsid w:val="00711A77"/>
    <w:rsid w:val="007139AB"/>
    <w:rsid w:val="00714423"/>
    <w:rsid w:val="00717854"/>
    <w:rsid w:val="00721056"/>
    <w:rsid w:val="00723D9F"/>
    <w:rsid w:val="00724C1B"/>
    <w:rsid w:val="00734251"/>
    <w:rsid w:val="00735A07"/>
    <w:rsid w:val="00740D94"/>
    <w:rsid w:val="007442F8"/>
    <w:rsid w:val="00744BD9"/>
    <w:rsid w:val="00746152"/>
    <w:rsid w:val="0074729D"/>
    <w:rsid w:val="00747E94"/>
    <w:rsid w:val="0075152D"/>
    <w:rsid w:val="00751C62"/>
    <w:rsid w:val="0075758A"/>
    <w:rsid w:val="00760CA6"/>
    <w:rsid w:val="00762BF9"/>
    <w:rsid w:val="00762FEE"/>
    <w:rsid w:val="007648F5"/>
    <w:rsid w:val="0076564D"/>
    <w:rsid w:val="00766530"/>
    <w:rsid w:val="00770346"/>
    <w:rsid w:val="00773705"/>
    <w:rsid w:val="0077430D"/>
    <w:rsid w:val="00777B99"/>
    <w:rsid w:val="00781479"/>
    <w:rsid w:val="0078633F"/>
    <w:rsid w:val="00787329"/>
    <w:rsid w:val="007914B5"/>
    <w:rsid w:val="007929D8"/>
    <w:rsid w:val="00793807"/>
    <w:rsid w:val="007A0BE9"/>
    <w:rsid w:val="007A1732"/>
    <w:rsid w:val="007A2F95"/>
    <w:rsid w:val="007A4FFB"/>
    <w:rsid w:val="007A61B2"/>
    <w:rsid w:val="007B4F6F"/>
    <w:rsid w:val="007C127D"/>
    <w:rsid w:val="007C429F"/>
    <w:rsid w:val="007C446B"/>
    <w:rsid w:val="007C762E"/>
    <w:rsid w:val="007C79E3"/>
    <w:rsid w:val="007D1C94"/>
    <w:rsid w:val="007D61FE"/>
    <w:rsid w:val="007D6EBF"/>
    <w:rsid w:val="007D74A3"/>
    <w:rsid w:val="007E2C25"/>
    <w:rsid w:val="007E39F2"/>
    <w:rsid w:val="007E5BE6"/>
    <w:rsid w:val="007F1EDA"/>
    <w:rsid w:val="007F5B12"/>
    <w:rsid w:val="007F5DA1"/>
    <w:rsid w:val="00800014"/>
    <w:rsid w:val="00805C86"/>
    <w:rsid w:val="00810F4E"/>
    <w:rsid w:val="008166D7"/>
    <w:rsid w:val="00816B85"/>
    <w:rsid w:val="00817D63"/>
    <w:rsid w:val="00825A84"/>
    <w:rsid w:val="00832994"/>
    <w:rsid w:val="008407F2"/>
    <w:rsid w:val="00850BA1"/>
    <w:rsid w:val="0085138E"/>
    <w:rsid w:val="00852258"/>
    <w:rsid w:val="00853ABA"/>
    <w:rsid w:val="00855A69"/>
    <w:rsid w:val="00861867"/>
    <w:rsid w:val="00861C16"/>
    <w:rsid w:val="00864B8D"/>
    <w:rsid w:val="008677FB"/>
    <w:rsid w:val="00873244"/>
    <w:rsid w:val="00875160"/>
    <w:rsid w:val="00875871"/>
    <w:rsid w:val="00881E0A"/>
    <w:rsid w:val="00882154"/>
    <w:rsid w:val="00883096"/>
    <w:rsid w:val="00886302"/>
    <w:rsid w:val="008910F4"/>
    <w:rsid w:val="00891FA5"/>
    <w:rsid w:val="00894988"/>
    <w:rsid w:val="008967D9"/>
    <w:rsid w:val="00897A5D"/>
    <w:rsid w:val="00897FAD"/>
    <w:rsid w:val="008A38E7"/>
    <w:rsid w:val="008A5AE0"/>
    <w:rsid w:val="008B308E"/>
    <w:rsid w:val="008B3E45"/>
    <w:rsid w:val="008B5159"/>
    <w:rsid w:val="008B6FCD"/>
    <w:rsid w:val="008B770B"/>
    <w:rsid w:val="008C23F1"/>
    <w:rsid w:val="008C34D5"/>
    <w:rsid w:val="008C6FDB"/>
    <w:rsid w:val="008D0EBB"/>
    <w:rsid w:val="008D36CD"/>
    <w:rsid w:val="008D52D7"/>
    <w:rsid w:val="008D6033"/>
    <w:rsid w:val="008D604C"/>
    <w:rsid w:val="008E0757"/>
    <w:rsid w:val="008E4CDB"/>
    <w:rsid w:val="008E7A6A"/>
    <w:rsid w:val="009003B6"/>
    <w:rsid w:val="009013AC"/>
    <w:rsid w:val="00902F64"/>
    <w:rsid w:val="009050EB"/>
    <w:rsid w:val="009078A9"/>
    <w:rsid w:val="00912388"/>
    <w:rsid w:val="0091529C"/>
    <w:rsid w:val="00915DDA"/>
    <w:rsid w:val="00917801"/>
    <w:rsid w:val="0092239B"/>
    <w:rsid w:val="00923E30"/>
    <w:rsid w:val="00925CD9"/>
    <w:rsid w:val="009279D6"/>
    <w:rsid w:val="00930AEA"/>
    <w:rsid w:val="009312B6"/>
    <w:rsid w:val="00931433"/>
    <w:rsid w:val="00932719"/>
    <w:rsid w:val="0093292C"/>
    <w:rsid w:val="0093672C"/>
    <w:rsid w:val="00936C2C"/>
    <w:rsid w:val="00936DFE"/>
    <w:rsid w:val="009376EE"/>
    <w:rsid w:val="00940520"/>
    <w:rsid w:val="0094267A"/>
    <w:rsid w:val="00943293"/>
    <w:rsid w:val="00943BC2"/>
    <w:rsid w:val="00947226"/>
    <w:rsid w:val="009508AA"/>
    <w:rsid w:val="00952E2B"/>
    <w:rsid w:val="00954A4F"/>
    <w:rsid w:val="00955811"/>
    <w:rsid w:val="0095628F"/>
    <w:rsid w:val="00961889"/>
    <w:rsid w:val="00962366"/>
    <w:rsid w:val="009628A8"/>
    <w:rsid w:val="00965C25"/>
    <w:rsid w:val="00975199"/>
    <w:rsid w:val="00977191"/>
    <w:rsid w:val="00981AB1"/>
    <w:rsid w:val="009859BC"/>
    <w:rsid w:val="0098648D"/>
    <w:rsid w:val="009874F1"/>
    <w:rsid w:val="00987704"/>
    <w:rsid w:val="009935AB"/>
    <w:rsid w:val="00993A21"/>
    <w:rsid w:val="00995ABE"/>
    <w:rsid w:val="009972F0"/>
    <w:rsid w:val="009A0194"/>
    <w:rsid w:val="009A0320"/>
    <w:rsid w:val="009A4C75"/>
    <w:rsid w:val="009B6DA9"/>
    <w:rsid w:val="009C3B68"/>
    <w:rsid w:val="009C43D5"/>
    <w:rsid w:val="009D5F1E"/>
    <w:rsid w:val="009D6E2F"/>
    <w:rsid w:val="009E0A01"/>
    <w:rsid w:val="009E148B"/>
    <w:rsid w:val="009E5821"/>
    <w:rsid w:val="009E66EB"/>
    <w:rsid w:val="009E77FB"/>
    <w:rsid w:val="009F24E3"/>
    <w:rsid w:val="009F6427"/>
    <w:rsid w:val="009F6ACE"/>
    <w:rsid w:val="00A06AFD"/>
    <w:rsid w:val="00A1127A"/>
    <w:rsid w:val="00A123CD"/>
    <w:rsid w:val="00A12F34"/>
    <w:rsid w:val="00A14096"/>
    <w:rsid w:val="00A166C8"/>
    <w:rsid w:val="00A16AAC"/>
    <w:rsid w:val="00A25B1E"/>
    <w:rsid w:val="00A33D8C"/>
    <w:rsid w:val="00A37056"/>
    <w:rsid w:val="00A4107D"/>
    <w:rsid w:val="00A42A5D"/>
    <w:rsid w:val="00A45216"/>
    <w:rsid w:val="00A52082"/>
    <w:rsid w:val="00A5363A"/>
    <w:rsid w:val="00A5384A"/>
    <w:rsid w:val="00A55D0E"/>
    <w:rsid w:val="00A56E7B"/>
    <w:rsid w:val="00A578DA"/>
    <w:rsid w:val="00A600DA"/>
    <w:rsid w:val="00A61F90"/>
    <w:rsid w:val="00A66F49"/>
    <w:rsid w:val="00A71A8D"/>
    <w:rsid w:val="00A738F3"/>
    <w:rsid w:val="00A74A91"/>
    <w:rsid w:val="00A74FEA"/>
    <w:rsid w:val="00A7690B"/>
    <w:rsid w:val="00A77CA7"/>
    <w:rsid w:val="00A8008C"/>
    <w:rsid w:val="00A86865"/>
    <w:rsid w:val="00A87228"/>
    <w:rsid w:val="00A958E7"/>
    <w:rsid w:val="00AA3375"/>
    <w:rsid w:val="00AA68F0"/>
    <w:rsid w:val="00AA6F34"/>
    <w:rsid w:val="00AB1205"/>
    <w:rsid w:val="00AB78F6"/>
    <w:rsid w:val="00AC3AE2"/>
    <w:rsid w:val="00AC49B1"/>
    <w:rsid w:val="00AC6149"/>
    <w:rsid w:val="00AC7A92"/>
    <w:rsid w:val="00AD304D"/>
    <w:rsid w:val="00AD4979"/>
    <w:rsid w:val="00AD7597"/>
    <w:rsid w:val="00AE20C6"/>
    <w:rsid w:val="00AE5A9D"/>
    <w:rsid w:val="00AF1E06"/>
    <w:rsid w:val="00AF4DCF"/>
    <w:rsid w:val="00AF5220"/>
    <w:rsid w:val="00AF6609"/>
    <w:rsid w:val="00B00D07"/>
    <w:rsid w:val="00B04022"/>
    <w:rsid w:val="00B0458F"/>
    <w:rsid w:val="00B07FDD"/>
    <w:rsid w:val="00B12DA5"/>
    <w:rsid w:val="00B16C3D"/>
    <w:rsid w:val="00B2126E"/>
    <w:rsid w:val="00B228CE"/>
    <w:rsid w:val="00B2433A"/>
    <w:rsid w:val="00B2781A"/>
    <w:rsid w:val="00B30964"/>
    <w:rsid w:val="00B3441D"/>
    <w:rsid w:val="00B3671B"/>
    <w:rsid w:val="00B436F6"/>
    <w:rsid w:val="00B468B1"/>
    <w:rsid w:val="00B46A16"/>
    <w:rsid w:val="00B50B96"/>
    <w:rsid w:val="00B531CB"/>
    <w:rsid w:val="00B532FD"/>
    <w:rsid w:val="00B550F2"/>
    <w:rsid w:val="00B554C8"/>
    <w:rsid w:val="00B629C3"/>
    <w:rsid w:val="00B6324F"/>
    <w:rsid w:val="00B70E97"/>
    <w:rsid w:val="00B72935"/>
    <w:rsid w:val="00B737A6"/>
    <w:rsid w:val="00B76673"/>
    <w:rsid w:val="00B834DB"/>
    <w:rsid w:val="00B86180"/>
    <w:rsid w:val="00B8658F"/>
    <w:rsid w:val="00B90500"/>
    <w:rsid w:val="00B90EA2"/>
    <w:rsid w:val="00B94E07"/>
    <w:rsid w:val="00BA034C"/>
    <w:rsid w:val="00BA2359"/>
    <w:rsid w:val="00BA664A"/>
    <w:rsid w:val="00BA6C16"/>
    <w:rsid w:val="00BB1C65"/>
    <w:rsid w:val="00BB7649"/>
    <w:rsid w:val="00BC0F7D"/>
    <w:rsid w:val="00BC11DD"/>
    <w:rsid w:val="00BC4CB5"/>
    <w:rsid w:val="00BC6267"/>
    <w:rsid w:val="00BC6426"/>
    <w:rsid w:val="00BC739E"/>
    <w:rsid w:val="00BD2AB7"/>
    <w:rsid w:val="00BE0302"/>
    <w:rsid w:val="00BE1D41"/>
    <w:rsid w:val="00BE71A6"/>
    <w:rsid w:val="00C1019D"/>
    <w:rsid w:val="00C14A61"/>
    <w:rsid w:val="00C15EC3"/>
    <w:rsid w:val="00C16A47"/>
    <w:rsid w:val="00C21BCC"/>
    <w:rsid w:val="00C22053"/>
    <w:rsid w:val="00C22ECF"/>
    <w:rsid w:val="00C23ECF"/>
    <w:rsid w:val="00C24615"/>
    <w:rsid w:val="00C25A8D"/>
    <w:rsid w:val="00C26CA1"/>
    <w:rsid w:val="00C31789"/>
    <w:rsid w:val="00C3649B"/>
    <w:rsid w:val="00C37C64"/>
    <w:rsid w:val="00C4164B"/>
    <w:rsid w:val="00C43BA8"/>
    <w:rsid w:val="00C46949"/>
    <w:rsid w:val="00C46EAE"/>
    <w:rsid w:val="00C53738"/>
    <w:rsid w:val="00C540D5"/>
    <w:rsid w:val="00C549B8"/>
    <w:rsid w:val="00C561FB"/>
    <w:rsid w:val="00C56C8C"/>
    <w:rsid w:val="00C57AF4"/>
    <w:rsid w:val="00C60514"/>
    <w:rsid w:val="00C6601D"/>
    <w:rsid w:val="00C66191"/>
    <w:rsid w:val="00C66A8F"/>
    <w:rsid w:val="00C74A56"/>
    <w:rsid w:val="00C80682"/>
    <w:rsid w:val="00C81418"/>
    <w:rsid w:val="00C82F12"/>
    <w:rsid w:val="00C8379D"/>
    <w:rsid w:val="00C85996"/>
    <w:rsid w:val="00C92FDE"/>
    <w:rsid w:val="00C93DD7"/>
    <w:rsid w:val="00CA1E00"/>
    <w:rsid w:val="00CA2A4F"/>
    <w:rsid w:val="00CA3C37"/>
    <w:rsid w:val="00CA43F6"/>
    <w:rsid w:val="00CA520D"/>
    <w:rsid w:val="00CA64FA"/>
    <w:rsid w:val="00CA68EE"/>
    <w:rsid w:val="00CB0E43"/>
    <w:rsid w:val="00CB125C"/>
    <w:rsid w:val="00CB4240"/>
    <w:rsid w:val="00CB6D92"/>
    <w:rsid w:val="00CC2C33"/>
    <w:rsid w:val="00CC4E09"/>
    <w:rsid w:val="00CC7759"/>
    <w:rsid w:val="00CD3829"/>
    <w:rsid w:val="00CD7536"/>
    <w:rsid w:val="00CE1F50"/>
    <w:rsid w:val="00CE2610"/>
    <w:rsid w:val="00CE28F7"/>
    <w:rsid w:val="00D0181F"/>
    <w:rsid w:val="00D140C5"/>
    <w:rsid w:val="00D15149"/>
    <w:rsid w:val="00D1515E"/>
    <w:rsid w:val="00D22848"/>
    <w:rsid w:val="00D26B55"/>
    <w:rsid w:val="00D3026D"/>
    <w:rsid w:val="00D35B5F"/>
    <w:rsid w:val="00D3760C"/>
    <w:rsid w:val="00D42377"/>
    <w:rsid w:val="00D42C57"/>
    <w:rsid w:val="00D430C7"/>
    <w:rsid w:val="00D44A95"/>
    <w:rsid w:val="00D50E31"/>
    <w:rsid w:val="00D5513C"/>
    <w:rsid w:val="00D6169B"/>
    <w:rsid w:val="00D633C0"/>
    <w:rsid w:val="00D65210"/>
    <w:rsid w:val="00D66487"/>
    <w:rsid w:val="00D675F5"/>
    <w:rsid w:val="00D81D8E"/>
    <w:rsid w:val="00D83483"/>
    <w:rsid w:val="00D93049"/>
    <w:rsid w:val="00D9773E"/>
    <w:rsid w:val="00DA0B68"/>
    <w:rsid w:val="00DA220F"/>
    <w:rsid w:val="00DA3A88"/>
    <w:rsid w:val="00DA6842"/>
    <w:rsid w:val="00DA7FA0"/>
    <w:rsid w:val="00DB3401"/>
    <w:rsid w:val="00DB4559"/>
    <w:rsid w:val="00DB7C73"/>
    <w:rsid w:val="00DC0BD4"/>
    <w:rsid w:val="00DC153F"/>
    <w:rsid w:val="00DC23A6"/>
    <w:rsid w:val="00DC34B1"/>
    <w:rsid w:val="00DC3E4C"/>
    <w:rsid w:val="00DD0175"/>
    <w:rsid w:val="00DD0BF5"/>
    <w:rsid w:val="00DD14B0"/>
    <w:rsid w:val="00DD16BF"/>
    <w:rsid w:val="00DD56B3"/>
    <w:rsid w:val="00DE055F"/>
    <w:rsid w:val="00DE52E2"/>
    <w:rsid w:val="00DE6709"/>
    <w:rsid w:val="00DF075D"/>
    <w:rsid w:val="00E00FB6"/>
    <w:rsid w:val="00E01BB3"/>
    <w:rsid w:val="00E12F01"/>
    <w:rsid w:val="00E12F0C"/>
    <w:rsid w:val="00E1406B"/>
    <w:rsid w:val="00E140B0"/>
    <w:rsid w:val="00E14166"/>
    <w:rsid w:val="00E154EF"/>
    <w:rsid w:val="00E16C71"/>
    <w:rsid w:val="00E17747"/>
    <w:rsid w:val="00E21FD0"/>
    <w:rsid w:val="00E22C0D"/>
    <w:rsid w:val="00E232A5"/>
    <w:rsid w:val="00E25381"/>
    <w:rsid w:val="00E2759F"/>
    <w:rsid w:val="00E33150"/>
    <w:rsid w:val="00E361B3"/>
    <w:rsid w:val="00E40489"/>
    <w:rsid w:val="00E413A2"/>
    <w:rsid w:val="00E42AE3"/>
    <w:rsid w:val="00E504AA"/>
    <w:rsid w:val="00E5315F"/>
    <w:rsid w:val="00E54A75"/>
    <w:rsid w:val="00E551AC"/>
    <w:rsid w:val="00E56476"/>
    <w:rsid w:val="00E57FA2"/>
    <w:rsid w:val="00E60A33"/>
    <w:rsid w:val="00E646A6"/>
    <w:rsid w:val="00E64AFD"/>
    <w:rsid w:val="00E6532B"/>
    <w:rsid w:val="00E6589A"/>
    <w:rsid w:val="00E66555"/>
    <w:rsid w:val="00E674D1"/>
    <w:rsid w:val="00E67741"/>
    <w:rsid w:val="00E67CCD"/>
    <w:rsid w:val="00E71BB6"/>
    <w:rsid w:val="00E77A18"/>
    <w:rsid w:val="00E900A8"/>
    <w:rsid w:val="00E921F2"/>
    <w:rsid w:val="00E92C8E"/>
    <w:rsid w:val="00E95706"/>
    <w:rsid w:val="00E97FB8"/>
    <w:rsid w:val="00EA553B"/>
    <w:rsid w:val="00EA5D11"/>
    <w:rsid w:val="00EA6140"/>
    <w:rsid w:val="00EA6E8F"/>
    <w:rsid w:val="00EB19DC"/>
    <w:rsid w:val="00EC065D"/>
    <w:rsid w:val="00EC576D"/>
    <w:rsid w:val="00EC69D1"/>
    <w:rsid w:val="00EC7135"/>
    <w:rsid w:val="00EC7919"/>
    <w:rsid w:val="00ED022D"/>
    <w:rsid w:val="00ED5373"/>
    <w:rsid w:val="00EE0BDE"/>
    <w:rsid w:val="00EE1C6A"/>
    <w:rsid w:val="00EF1380"/>
    <w:rsid w:val="00EF373A"/>
    <w:rsid w:val="00EF612B"/>
    <w:rsid w:val="00F001EC"/>
    <w:rsid w:val="00F01227"/>
    <w:rsid w:val="00F01DE2"/>
    <w:rsid w:val="00F077E1"/>
    <w:rsid w:val="00F15426"/>
    <w:rsid w:val="00F1668F"/>
    <w:rsid w:val="00F166D9"/>
    <w:rsid w:val="00F2047C"/>
    <w:rsid w:val="00F23DEA"/>
    <w:rsid w:val="00F24D8F"/>
    <w:rsid w:val="00F24E48"/>
    <w:rsid w:val="00F25332"/>
    <w:rsid w:val="00F31AB8"/>
    <w:rsid w:val="00F32535"/>
    <w:rsid w:val="00F363C6"/>
    <w:rsid w:val="00F5412D"/>
    <w:rsid w:val="00F54A72"/>
    <w:rsid w:val="00F60374"/>
    <w:rsid w:val="00F618E4"/>
    <w:rsid w:val="00F62527"/>
    <w:rsid w:val="00F634E5"/>
    <w:rsid w:val="00F63A4D"/>
    <w:rsid w:val="00F84F93"/>
    <w:rsid w:val="00F952B9"/>
    <w:rsid w:val="00F96D16"/>
    <w:rsid w:val="00F96E73"/>
    <w:rsid w:val="00F97DB6"/>
    <w:rsid w:val="00FA1F43"/>
    <w:rsid w:val="00FA4C78"/>
    <w:rsid w:val="00FB1652"/>
    <w:rsid w:val="00FB3669"/>
    <w:rsid w:val="00FB603E"/>
    <w:rsid w:val="00FC3A78"/>
    <w:rsid w:val="00FC5443"/>
    <w:rsid w:val="00FC67D5"/>
    <w:rsid w:val="00FD3B2C"/>
    <w:rsid w:val="00FD5B36"/>
    <w:rsid w:val="00FD5E2D"/>
    <w:rsid w:val="00FD6533"/>
    <w:rsid w:val="00FD7B8A"/>
    <w:rsid w:val="00FE164E"/>
    <w:rsid w:val="00FE7136"/>
    <w:rsid w:val="00FE7CE9"/>
    <w:rsid w:val="00FE7EA8"/>
    <w:rsid w:val="00FF21A0"/>
    <w:rsid w:val="00FF3177"/>
    <w:rsid w:val="00FF68A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2"/>
    <w:rPr>
      <w:lang w:val="es-ES"/>
    </w:rPr>
  </w:style>
  <w:style w:type="paragraph" w:styleId="Ttulo1">
    <w:name w:val="heading 1"/>
    <w:basedOn w:val="Normal"/>
    <w:next w:val="Normal"/>
    <w:link w:val="Ttulo1Car"/>
    <w:uiPriority w:val="9"/>
    <w:qFormat/>
    <w:rsid w:val="00E41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1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74F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3A2"/>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E413A2"/>
    <w:rPr>
      <w:rFonts w:asciiTheme="majorHAnsi" w:eastAsiaTheme="majorEastAsia" w:hAnsiTheme="majorHAnsi" w:cstheme="majorBidi"/>
      <w:color w:val="2F5496" w:themeColor="accent1" w:themeShade="BF"/>
      <w:sz w:val="26"/>
      <w:szCs w:val="26"/>
      <w:lang w:val="es-ES"/>
    </w:rPr>
  </w:style>
  <w:style w:type="character" w:styleId="Hipervnculo">
    <w:name w:val="Hyperlink"/>
    <w:basedOn w:val="Fuentedeprrafopredeter"/>
    <w:uiPriority w:val="99"/>
    <w:unhideWhenUsed/>
    <w:rsid w:val="00E413A2"/>
    <w:rPr>
      <w:rFonts w:cs="Times New Roman"/>
      <w:color w:val="0563C1" w:themeColor="hyperlink"/>
      <w:u w:val="single"/>
    </w:rPr>
  </w:style>
  <w:style w:type="paragraph" w:styleId="Textonotapie">
    <w:name w:val="footnote text"/>
    <w:aliases w:val="Ref. de nota al pie1,Footnotes refss,Ref,de nota al pie,Texto de nota al pie,referencia nota al pie,BVI fnr,Appel note de bas de page,f,Footnote number,4_G,16 Point,Superscript 6 Point,Texto nota al pie,Normal1,Footnote Reference Char3"/>
    <w:basedOn w:val="Normal"/>
    <w:link w:val="TextonotapieCar"/>
    <w:uiPriority w:val="99"/>
    <w:unhideWhenUsed/>
    <w:qFormat/>
    <w:rsid w:val="00E413A2"/>
    <w:pPr>
      <w:spacing w:after="0" w:line="240" w:lineRule="auto"/>
    </w:pPr>
    <w:rPr>
      <w:rFonts w:eastAsia="Times New Roman" w:cs="Times New Roman"/>
      <w:sz w:val="20"/>
      <w:szCs w:val="20"/>
      <w:lang w:val="es-AR"/>
    </w:rPr>
  </w:style>
  <w:style w:type="character" w:customStyle="1" w:styleId="TextonotapieCar">
    <w:name w:val="Texto nota pie Car"/>
    <w:aliases w:val="Ref. de nota al pie1 Car,Footnotes refss Car,Ref Car,de nota al pie Car,Texto de nota al pie Car,referencia nota al pie Car,BVI fnr Car,Appel note de bas de page Car,f Car,Footnote number Car,4_G Car,16 Point Car,Texto nota al pie Car"/>
    <w:basedOn w:val="Fuentedeprrafopredeter"/>
    <w:link w:val="Textonotapie"/>
    <w:uiPriority w:val="99"/>
    <w:rsid w:val="00E413A2"/>
    <w:rPr>
      <w:rFonts w:eastAsia="Times New Roman" w:cs="Times New Roman"/>
      <w:sz w:val="20"/>
      <w:szCs w:val="20"/>
      <w:lang w:val="es-AR"/>
    </w:rPr>
  </w:style>
  <w:style w:type="character" w:styleId="Refdenotaalpie">
    <w:name w:val="footnote reference"/>
    <w:aliases w:val="normal,Footnote symbol,BVI,Normal2"/>
    <w:uiPriority w:val="99"/>
    <w:unhideWhenUsed/>
    <w:qFormat/>
    <w:rsid w:val="00E413A2"/>
    <w:rPr>
      <w:vertAlign w:val="superscript"/>
    </w:rPr>
  </w:style>
  <w:style w:type="paragraph" w:styleId="Piedepgina">
    <w:name w:val="footer"/>
    <w:basedOn w:val="Normal"/>
    <w:link w:val="PiedepginaCar"/>
    <w:uiPriority w:val="99"/>
    <w:unhideWhenUsed/>
    <w:rsid w:val="00E413A2"/>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E413A2"/>
    <w:rPr>
      <w:lang w:val="es-AR"/>
    </w:rPr>
  </w:style>
  <w:style w:type="paragraph" w:customStyle="1" w:styleId="Default">
    <w:name w:val="Default"/>
    <w:rsid w:val="00E413A2"/>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E41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13A2"/>
    <w:pPr>
      <w:ind w:left="720"/>
      <w:contextualSpacing/>
    </w:pPr>
  </w:style>
  <w:style w:type="character" w:customStyle="1" w:styleId="Mencinsinresolver1">
    <w:name w:val="Mención sin resolver1"/>
    <w:basedOn w:val="Fuentedeprrafopredeter"/>
    <w:uiPriority w:val="99"/>
    <w:semiHidden/>
    <w:unhideWhenUsed/>
    <w:rsid w:val="00E413A2"/>
    <w:rPr>
      <w:color w:val="605E5C"/>
      <w:shd w:val="clear" w:color="auto" w:fill="E1DFDD"/>
    </w:rPr>
  </w:style>
  <w:style w:type="paragraph" w:styleId="NormalWeb">
    <w:name w:val="Normal (Web)"/>
    <w:basedOn w:val="Normal"/>
    <w:uiPriority w:val="99"/>
    <w:unhideWhenUsed/>
    <w:rsid w:val="00E413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Fuentedeprrafopredeter"/>
    <w:rsid w:val="00E413A2"/>
  </w:style>
  <w:style w:type="character" w:styleId="Refdecomentario">
    <w:name w:val="annotation reference"/>
    <w:basedOn w:val="Fuentedeprrafopredeter"/>
    <w:uiPriority w:val="99"/>
    <w:semiHidden/>
    <w:unhideWhenUsed/>
    <w:rsid w:val="00E413A2"/>
    <w:rPr>
      <w:sz w:val="16"/>
      <w:szCs w:val="16"/>
    </w:rPr>
  </w:style>
  <w:style w:type="paragraph" w:styleId="Textocomentario">
    <w:name w:val="annotation text"/>
    <w:basedOn w:val="Normal"/>
    <w:link w:val="TextocomentarioCar"/>
    <w:uiPriority w:val="99"/>
    <w:unhideWhenUsed/>
    <w:rsid w:val="00E413A2"/>
    <w:pPr>
      <w:spacing w:line="240" w:lineRule="auto"/>
    </w:pPr>
    <w:rPr>
      <w:sz w:val="20"/>
      <w:szCs w:val="20"/>
    </w:rPr>
  </w:style>
  <w:style w:type="character" w:customStyle="1" w:styleId="TextocomentarioCar">
    <w:name w:val="Texto comentario Car"/>
    <w:basedOn w:val="Fuentedeprrafopredeter"/>
    <w:link w:val="Textocomentario"/>
    <w:uiPriority w:val="99"/>
    <w:rsid w:val="00E413A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413A2"/>
    <w:rPr>
      <w:b/>
      <w:bCs/>
    </w:rPr>
  </w:style>
  <w:style w:type="character" w:customStyle="1" w:styleId="AsuntodelcomentarioCar">
    <w:name w:val="Asunto del comentario Car"/>
    <w:basedOn w:val="TextocomentarioCar"/>
    <w:link w:val="Asuntodelcomentario"/>
    <w:uiPriority w:val="99"/>
    <w:semiHidden/>
    <w:rsid w:val="00E413A2"/>
    <w:rPr>
      <w:b/>
      <w:bCs/>
      <w:sz w:val="20"/>
      <w:szCs w:val="20"/>
      <w:lang w:val="es-ES"/>
    </w:rPr>
  </w:style>
  <w:style w:type="character" w:styleId="Hipervnculovisitado">
    <w:name w:val="FollowedHyperlink"/>
    <w:basedOn w:val="Fuentedeprrafopredeter"/>
    <w:uiPriority w:val="99"/>
    <w:semiHidden/>
    <w:unhideWhenUsed/>
    <w:rsid w:val="00E413A2"/>
    <w:rPr>
      <w:color w:val="954F72" w:themeColor="followedHyperlink"/>
      <w:u w:val="single"/>
    </w:rPr>
  </w:style>
  <w:style w:type="paragraph" w:styleId="Encabezado">
    <w:name w:val="header"/>
    <w:basedOn w:val="Normal"/>
    <w:link w:val="EncabezadoCar"/>
    <w:uiPriority w:val="99"/>
    <w:unhideWhenUsed/>
    <w:rsid w:val="005A7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A91"/>
    <w:rPr>
      <w:lang w:val="es-ES"/>
    </w:rPr>
  </w:style>
  <w:style w:type="character" w:customStyle="1" w:styleId="Mencinsinresolver2">
    <w:name w:val="Mención sin resolver2"/>
    <w:basedOn w:val="Fuentedeprrafopredeter"/>
    <w:uiPriority w:val="99"/>
    <w:semiHidden/>
    <w:unhideWhenUsed/>
    <w:rsid w:val="009050EB"/>
    <w:rPr>
      <w:color w:val="605E5C"/>
      <w:shd w:val="clear" w:color="auto" w:fill="E1DFDD"/>
    </w:rPr>
  </w:style>
  <w:style w:type="character" w:customStyle="1" w:styleId="UnresolvedMention1">
    <w:name w:val="Unresolved Mention1"/>
    <w:basedOn w:val="Fuentedeprrafopredeter"/>
    <w:uiPriority w:val="99"/>
    <w:semiHidden/>
    <w:unhideWhenUsed/>
    <w:rsid w:val="00E67741"/>
    <w:rPr>
      <w:color w:val="605E5C"/>
      <w:shd w:val="clear" w:color="auto" w:fill="E1DFDD"/>
    </w:rPr>
  </w:style>
  <w:style w:type="paragraph" w:styleId="TtulodeTDC">
    <w:name w:val="TOC Heading"/>
    <w:basedOn w:val="Ttulo1"/>
    <w:next w:val="Normal"/>
    <w:uiPriority w:val="39"/>
    <w:unhideWhenUsed/>
    <w:qFormat/>
    <w:rsid w:val="00454D5A"/>
    <w:pPr>
      <w:outlineLvl w:val="9"/>
    </w:pPr>
    <w:rPr>
      <w:lang w:val="en-GB" w:eastAsia="en-GB"/>
    </w:rPr>
  </w:style>
  <w:style w:type="paragraph" w:styleId="Ttulo">
    <w:name w:val="Title"/>
    <w:basedOn w:val="Normal"/>
    <w:next w:val="Normal"/>
    <w:link w:val="TtuloCar"/>
    <w:uiPriority w:val="10"/>
    <w:qFormat/>
    <w:rsid w:val="00454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4D5A"/>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454D5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4D5A"/>
    <w:rPr>
      <w:rFonts w:eastAsiaTheme="minorEastAsia"/>
      <w:color w:val="5A5A5A" w:themeColor="text1" w:themeTint="A5"/>
      <w:spacing w:val="15"/>
      <w:lang w:val="es-ES"/>
    </w:rPr>
  </w:style>
  <w:style w:type="paragraph" w:styleId="TDC1">
    <w:name w:val="toc 1"/>
    <w:basedOn w:val="Normal"/>
    <w:next w:val="Normal"/>
    <w:autoRedefine/>
    <w:uiPriority w:val="39"/>
    <w:unhideWhenUsed/>
    <w:rsid w:val="003B3D22"/>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3B3D22"/>
    <w:pPr>
      <w:tabs>
        <w:tab w:val="right" w:pos="9736"/>
      </w:tabs>
      <w:spacing w:after="0" w:line="360" w:lineRule="auto"/>
    </w:pPr>
    <w:rPr>
      <w:rFonts w:eastAsia="Times New Roman" w:cstheme="minorHAnsi"/>
      <w:noProof/>
      <w:sz w:val="20"/>
      <w:szCs w:val="20"/>
      <w:lang w:val="es-AR"/>
    </w:rPr>
  </w:style>
  <w:style w:type="paragraph" w:styleId="TDC3">
    <w:name w:val="toc 3"/>
    <w:basedOn w:val="Normal"/>
    <w:next w:val="Normal"/>
    <w:autoRedefine/>
    <w:uiPriority w:val="39"/>
    <w:unhideWhenUsed/>
    <w:rsid w:val="00104389"/>
    <w:pPr>
      <w:spacing w:after="0"/>
      <w:ind w:left="220"/>
    </w:pPr>
    <w:rPr>
      <w:rFonts w:cstheme="minorHAnsi"/>
      <w:sz w:val="20"/>
      <w:szCs w:val="20"/>
    </w:rPr>
  </w:style>
  <w:style w:type="paragraph" w:styleId="TDC4">
    <w:name w:val="toc 4"/>
    <w:basedOn w:val="Normal"/>
    <w:next w:val="Normal"/>
    <w:autoRedefine/>
    <w:uiPriority w:val="39"/>
    <w:unhideWhenUsed/>
    <w:rsid w:val="00D430C7"/>
    <w:pPr>
      <w:spacing w:after="0"/>
      <w:ind w:left="440"/>
    </w:pPr>
    <w:rPr>
      <w:rFonts w:cstheme="minorHAnsi"/>
      <w:sz w:val="20"/>
      <w:szCs w:val="20"/>
    </w:rPr>
  </w:style>
  <w:style w:type="paragraph" w:styleId="TDC5">
    <w:name w:val="toc 5"/>
    <w:basedOn w:val="Normal"/>
    <w:next w:val="Normal"/>
    <w:autoRedefine/>
    <w:uiPriority w:val="39"/>
    <w:unhideWhenUsed/>
    <w:rsid w:val="00D430C7"/>
    <w:pPr>
      <w:spacing w:after="0"/>
      <w:ind w:left="660"/>
    </w:pPr>
    <w:rPr>
      <w:rFonts w:cstheme="minorHAnsi"/>
      <w:sz w:val="20"/>
      <w:szCs w:val="20"/>
    </w:rPr>
  </w:style>
  <w:style w:type="paragraph" w:styleId="TDC6">
    <w:name w:val="toc 6"/>
    <w:basedOn w:val="Normal"/>
    <w:next w:val="Normal"/>
    <w:autoRedefine/>
    <w:uiPriority w:val="39"/>
    <w:unhideWhenUsed/>
    <w:rsid w:val="00D430C7"/>
    <w:pPr>
      <w:spacing w:after="0"/>
      <w:ind w:left="880"/>
    </w:pPr>
    <w:rPr>
      <w:rFonts w:cstheme="minorHAnsi"/>
      <w:sz w:val="20"/>
      <w:szCs w:val="20"/>
    </w:rPr>
  </w:style>
  <w:style w:type="paragraph" w:styleId="TDC7">
    <w:name w:val="toc 7"/>
    <w:basedOn w:val="Normal"/>
    <w:next w:val="Normal"/>
    <w:autoRedefine/>
    <w:uiPriority w:val="39"/>
    <w:unhideWhenUsed/>
    <w:rsid w:val="00D430C7"/>
    <w:pPr>
      <w:spacing w:after="0"/>
      <w:ind w:left="1100"/>
    </w:pPr>
    <w:rPr>
      <w:rFonts w:cstheme="minorHAnsi"/>
      <w:sz w:val="20"/>
      <w:szCs w:val="20"/>
    </w:rPr>
  </w:style>
  <w:style w:type="paragraph" w:styleId="TDC8">
    <w:name w:val="toc 8"/>
    <w:basedOn w:val="Normal"/>
    <w:next w:val="Normal"/>
    <w:autoRedefine/>
    <w:uiPriority w:val="39"/>
    <w:unhideWhenUsed/>
    <w:rsid w:val="00D430C7"/>
    <w:pPr>
      <w:spacing w:after="0"/>
      <w:ind w:left="1320"/>
    </w:pPr>
    <w:rPr>
      <w:rFonts w:cstheme="minorHAnsi"/>
      <w:sz w:val="20"/>
      <w:szCs w:val="20"/>
    </w:rPr>
  </w:style>
  <w:style w:type="paragraph" w:styleId="TDC9">
    <w:name w:val="toc 9"/>
    <w:basedOn w:val="Normal"/>
    <w:next w:val="Normal"/>
    <w:autoRedefine/>
    <w:uiPriority w:val="39"/>
    <w:unhideWhenUsed/>
    <w:rsid w:val="00D430C7"/>
    <w:pPr>
      <w:spacing w:after="0"/>
      <w:ind w:left="1540"/>
    </w:pPr>
    <w:rPr>
      <w:rFonts w:cstheme="minorHAnsi"/>
      <w:sz w:val="20"/>
      <w:szCs w:val="20"/>
    </w:rPr>
  </w:style>
  <w:style w:type="character" w:customStyle="1" w:styleId="Ttulo3Car">
    <w:name w:val="Título 3 Car"/>
    <w:basedOn w:val="Fuentedeprrafopredeter"/>
    <w:link w:val="Ttulo3"/>
    <w:uiPriority w:val="9"/>
    <w:rsid w:val="00A74FEA"/>
    <w:rPr>
      <w:rFonts w:asciiTheme="majorHAnsi" w:eastAsiaTheme="majorEastAsia" w:hAnsiTheme="majorHAnsi" w:cstheme="majorBidi"/>
      <w:color w:val="1F3763" w:themeColor="accent1" w:themeShade="7F"/>
      <w:sz w:val="24"/>
      <w:szCs w:val="24"/>
      <w:lang w:val="es-ES"/>
    </w:rPr>
  </w:style>
  <w:style w:type="paragraph" w:styleId="Textodeglobo">
    <w:name w:val="Balloon Text"/>
    <w:basedOn w:val="Normal"/>
    <w:link w:val="TextodegloboCar"/>
    <w:uiPriority w:val="99"/>
    <w:semiHidden/>
    <w:unhideWhenUsed/>
    <w:rsid w:val="00312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66"/>
    <w:rPr>
      <w:rFonts w:ascii="Tahoma" w:hAnsi="Tahoma" w:cs="Tahoma"/>
      <w:sz w:val="16"/>
      <w:szCs w:val="16"/>
      <w:lang w:val="es-ES"/>
    </w:rPr>
  </w:style>
  <w:style w:type="paragraph" w:styleId="Revisin">
    <w:name w:val="Revision"/>
    <w:hidden/>
    <w:uiPriority w:val="99"/>
    <w:semiHidden/>
    <w:rsid w:val="00E33150"/>
    <w:pPr>
      <w:spacing w:after="0" w:line="240" w:lineRule="auto"/>
    </w:pPr>
    <w:rPr>
      <w:lang w:val="es-ES"/>
    </w:rPr>
  </w:style>
  <w:style w:type="character" w:customStyle="1" w:styleId="cf01">
    <w:name w:val="cf01"/>
    <w:basedOn w:val="Fuentedeprrafopredeter"/>
    <w:rsid w:val="00943293"/>
    <w:rPr>
      <w:rFonts w:ascii="Segoe UI" w:hAnsi="Segoe UI" w:cs="Segoe UI" w:hint="default"/>
      <w:sz w:val="18"/>
      <w:szCs w:val="18"/>
    </w:rPr>
  </w:style>
  <w:style w:type="character" w:customStyle="1" w:styleId="UnresolvedMention">
    <w:name w:val="Unresolved Mention"/>
    <w:basedOn w:val="Fuentedeprrafopredeter"/>
    <w:uiPriority w:val="99"/>
    <w:semiHidden/>
    <w:unhideWhenUsed/>
    <w:rsid w:val="00810F4E"/>
    <w:rPr>
      <w:color w:val="605E5C"/>
      <w:shd w:val="clear" w:color="auto" w:fill="E1DFDD"/>
    </w:rPr>
  </w:style>
  <w:style w:type="paragraph" w:styleId="Sinespaciado">
    <w:name w:val="No Spacing"/>
    <w:link w:val="SinespaciadoCar"/>
    <w:uiPriority w:val="1"/>
    <w:qFormat/>
    <w:rsid w:val="006F5FFD"/>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6F5FFD"/>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A2"/>
    <w:rPr>
      <w:lang w:val="es-ES"/>
    </w:rPr>
  </w:style>
  <w:style w:type="paragraph" w:styleId="Ttulo1">
    <w:name w:val="heading 1"/>
    <w:basedOn w:val="Normal"/>
    <w:next w:val="Normal"/>
    <w:link w:val="Ttulo1Car"/>
    <w:uiPriority w:val="9"/>
    <w:qFormat/>
    <w:rsid w:val="00E41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1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74F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3A2"/>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E413A2"/>
    <w:rPr>
      <w:rFonts w:asciiTheme="majorHAnsi" w:eastAsiaTheme="majorEastAsia" w:hAnsiTheme="majorHAnsi" w:cstheme="majorBidi"/>
      <w:color w:val="2F5496" w:themeColor="accent1" w:themeShade="BF"/>
      <w:sz w:val="26"/>
      <w:szCs w:val="26"/>
      <w:lang w:val="es-ES"/>
    </w:rPr>
  </w:style>
  <w:style w:type="character" w:styleId="Hipervnculo">
    <w:name w:val="Hyperlink"/>
    <w:basedOn w:val="Fuentedeprrafopredeter"/>
    <w:uiPriority w:val="99"/>
    <w:unhideWhenUsed/>
    <w:rsid w:val="00E413A2"/>
    <w:rPr>
      <w:rFonts w:cs="Times New Roman"/>
      <w:color w:val="0563C1" w:themeColor="hyperlink"/>
      <w:u w:val="single"/>
    </w:rPr>
  </w:style>
  <w:style w:type="paragraph" w:styleId="Textonotapie">
    <w:name w:val="footnote text"/>
    <w:aliases w:val="Ref. de nota al pie1,Footnotes refss,Ref,de nota al pie,Texto de nota al pie,referencia nota al pie,BVI fnr,Appel note de bas de page,f,Footnote number,4_G,16 Point,Superscript 6 Point,Texto nota al pie,Normal1,Footnote Reference Char3"/>
    <w:basedOn w:val="Normal"/>
    <w:link w:val="TextonotapieCar"/>
    <w:uiPriority w:val="99"/>
    <w:unhideWhenUsed/>
    <w:qFormat/>
    <w:rsid w:val="00E413A2"/>
    <w:pPr>
      <w:spacing w:after="0" w:line="240" w:lineRule="auto"/>
    </w:pPr>
    <w:rPr>
      <w:rFonts w:eastAsia="Times New Roman" w:cs="Times New Roman"/>
      <w:sz w:val="20"/>
      <w:szCs w:val="20"/>
      <w:lang w:val="es-AR"/>
    </w:rPr>
  </w:style>
  <w:style w:type="character" w:customStyle="1" w:styleId="TextonotapieCar">
    <w:name w:val="Texto nota pie Car"/>
    <w:aliases w:val="Ref. de nota al pie1 Car,Footnotes refss Car,Ref Car,de nota al pie Car,Texto de nota al pie Car,referencia nota al pie Car,BVI fnr Car,Appel note de bas de page Car,f Car,Footnote number Car,4_G Car,16 Point Car,Texto nota al pie Car"/>
    <w:basedOn w:val="Fuentedeprrafopredeter"/>
    <w:link w:val="Textonotapie"/>
    <w:uiPriority w:val="99"/>
    <w:rsid w:val="00E413A2"/>
    <w:rPr>
      <w:rFonts w:eastAsia="Times New Roman" w:cs="Times New Roman"/>
      <w:sz w:val="20"/>
      <w:szCs w:val="20"/>
      <w:lang w:val="es-AR"/>
    </w:rPr>
  </w:style>
  <w:style w:type="character" w:styleId="Refdenotaalpie">
    <w:name w:val="footnote reference"/>
    <w:aliases w:val="normal,Footnote symbol,BVI,Normal2"/>
    <w:uiPriority w:val="99"/>
    <w:unhideWhenUsed/>
    <w:qFormat/>
    <w:rsid w:val="00E413A2"/>
    <w:rPr>
      <w:vertAlign w:val="superscript"/>
    </w:rPr>
  </w:style>
  <w:style w:type="paragraph" w:styleId="Piedepgina">
    <w:name w:val="footer"/>
    <w:basedOn w:val="Normal"/>
    <w:link w:val="PiedepginaCar"/>
    <w:uiPriority w:val="99"/>
    <w:unhideWhenUsed/>
    <w:rsid w:val="00E413A2"/>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E413A2"/>
    <w:rPr>
      <w:lang w:val="es-AR"/>
    </w:rPr>
  </w:style>
  <w:style w:type="paragraph" w:customStyle="1" w:styleId="Default">
    <w:name w:val="Default"/>
    <w:rsid w:val="00E413A2"/>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E41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13A2"/>
    <w:pPr>
      <w:ind w:left="720"/>
      <w:contextualSpacing/>
    </w:pPr>
  </w:style>
  <w:style w:type="character" w:customStyle="1" w:styleId="Mencinsinresolver1">
    <w:name w:val="Mención sin resolver1"/>
    <w:basedOn w:val="Fuentedeprrafopredeter"/>
    <w:uiPriority w:val="99"/>
    <w:semiHidden/>
    <w:unhideWhenUsed/>
    <w:rsid w:val="00E413A2"/>
    <w:rPr>
      <w:color w:val="605E5C"/>
      <w:shd w:val="clear" w:color="auto" w:fill="E1DFDD"/>
    </w:rPr>
  </w:style>
  <w:style w:type="paragraph" w:styleId="NormalWeb">
    <w:name w:val="Normal (Web)"/>
    <w:basedOn w:val="Normal"/>
    <w:uiPriority w:val="99"/>
    <w:unhideWhenUsed/>
    <w:rsid w:val="00E413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Fuentedeprrafopredeter"/>
    <w:rsid w:val="00E413A2"/>
  </w:style>
  <w:style w:type="character" w:styleId="Refdecomentario">
    <w:name w:val="annotation reference"/>
    <w:basedOn w:val="Fuentedeprrafopredeter"/>
    <w:uiPriority w:val="99"/>
    <w:semiHidden/>
    <w:unhideWhenUsed/>
    <w:rsid w:val="00E413A2"/>
    <w:rPr>
      <w:sz w:val="16"/>
      <w:szCs w:val="16"/>
    </w:rPr>
  </w:style>
  <w:style w:type="paragraph" w:styleId="Textocomentario">
    <w:name w:val="annotation text"/>
    <w:basedOn w:val="Normal"/>
    <w:link w:val="TextocomentarioCar"/>
    <w:uiPriority w:val="99"/>
    <w:unhideWhenUsed/>
    <w:rsid w:val="00E413A2"/>
    <w:pPr>
      <w:spacing w:line="240" w:lineRule="auto"/>
    </w:pPr>
    <w:rPr>
      <w:sz w:val="20"/>
      <w:szCs w:val="20"/>
    </w:rPr>
  </w:style>
  <w:style w:type="character" w:customStyle="1" w:styleId="TextocomentarioCar">
    <w:name w:val="Texto comentario Car"/>
    <w:basedOn w:val="Fuentedeprrafopredeter"/>
    <w:link w:val="Textocomentario"/>
    <w:uiPriority w:val="99"/>
    <w:rsid w:val="00E413A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413A2"/>
    <w:rPr>
      <w:b/>
      <w:bCs/>
    </w:rPr>
  </w:style>
  <w:style w:type="character" w:customStyle="1" w:styleId="AsuntodelcomentarioCar">
    <w:name w:val="Asunto del comentario Car"/>
    <w:basedOn w:val="TextocomentarioCar"/>
    <w:link w:val="Asuntodelcomentario"/>
    <w:uiPriority w:val="99"/>
    <w:semiHidden/>
    <w:rsid w:val="00E413A2"/>
    <w:rPr>
      <w:b/>
      <w:bCs/>
      <w:sz w:val="20"/>
      <w:szCs w:val="20"/>
      <w:lang w:val="es-ES"/>
    </w:rPr>
  </w:style>
  <w:style w:type="character" w:styleId="Hipervnculovisitado">
    <w:name w:val="FollowedHyperlink"/>
    <w:basedOn w:val="Fuentedeprrafopredeter"/>
    <w:uiPriority w:val="99"/>
    <w:semiHidden/>
    <w:unhideWhenUsed/>
    <w:rsid w:val="00E413A2"/>
    <w:rPr>
      <w:color w:val="954F72" w:themeColor="followedHyperlink"/>
      <w:u w:val="single"/>
    </w:rPr>
  </w:style>
  <w:style w:type="paragraph" w:styleId="Encabezado">
    <w:name w:val="header"/>
    <w:basedOn w:val="Normal"/>
    <w:link w:val="EncabezadoCar"/>
    <w:uiPriority w:val="99"/>
    <w:unhideWhenUsed/>
    <w:rsid w:val="005A7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A91"/>
    <w:rPr>
      <w:lang w:val="es-ES"/>
    </w:rPr>
  </w:style>
  <w:style w:type="character" w:customStyle="1" w:styleId="Mencinsinresolver2">
    <w:name w:val="Mención sin resolver2"/>
    <w:basedOn w:val="Fuentedeprrafopredeter"/>
    <w:uiPriority w:val="99"/>
    <w:semiHidden/>
    <w:unhideWhenUsed/>
    <w:rsid w:val="009050EB"/>
    <w:rPr>
      <w:color w:val="605E5C"/>
      <w:shd w:val="clear" w:color="auto" w:fill="E1DFDD"/>
    </w:rPr>
  </w:style>
  <w:style w:type="character" w:customStyle="1" w:styleId="UnresolvedMention1">
    <w:name w:val="Unresolved Mention1"/>
    <w:basedOn w:val="Fuentedeprrafopredeter"/>
    <w:uiPriority w:val="99"/>
    <w:semiHidden/>
    <w:unhideWhenUsed/>
    <w:rsid w:val="00E67741"/>
    <w:rPr>
      <w:color w:val="605E5C"/>
      <w:shd w:val="clear" w:color="auto" w:fill="E1DFDD"/>
    </w:rPr>
  </w:style>
  <w:style w:type="paragraph" w:styleId="TtulodeTDC">
    <w:name w:val="TOC Heading"/>
    <w:basedOn w:val="Ttulo1"/>
    <w:next w:val="Normal"/>
    <w:uiPriority w:val="39"/>
    <w:unhideWhenUsed/>
    <w:qFormat/>
    <w:rsid w:val="00454D5A"/>
    <w:pPr>
      <w:outlineLvl w:val="9"/>
    </w:pPr>
    <w:rPr>
      <w:lang w:val="en-GB" w:eastAsia="en-GB"/>
    </w:rPr>
  </w:style>
  <w:style w:type="paragraph" w:styleId="Ttulo">
    <w:name w:val="Title"/>
    <w:basedOn w:val="Normal"/>
    <w:next w:val="Normal"/>
    <w:link w:val="TtuloCar"/>
    <w:uiPriority w:val="10"/>
    <w:qFormat/>
    <w:rsid w:val="00454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4D5A"/>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454D5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4D5A"/>
    <w:rPr>
      <w:rFonts w:eastAsiaTheme="minorEastAsia"/>
      <w:color w:val="5A5A5A" w:themeColor="text1" w:themeTint="A5"/>
      <w:spacing w:val="15"/>
      <w:lang w:val="es-ES"/>
    </w:rPr>
  </w:style>
  <w:style w:type="paragraph" w:styleId="TDC1">
    <w:name w:val="toc 1"/>
    <w:basedOn w:val="Normal"/>
    <w:next w:val="Normal"/>
    <w:autoRedefine/>
    <w:uiPriority w:val="39"/>
    <w:unhideWhenUsed/>
    <w:rsid w:val="003B3D22"/>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3B3D22"/>
    <w:pPr>
      <w:tabs>
        <w:tab w:val="right" w:pos="9736"/>
      </w:tabs>
      <w:spacing w:after="0" w:line="360" w:lineRule="auto"/>
    </w:pPr>
    <w:rPr>
      <w:rFonts w:eastAsia="Times New Roman" w:cstheme="minorHAnsi"/>
      <w:noProof/>
      <w:sz w:val="20"/>
      <w:szCs w:val="20"/>
      <w:lang w:val="es-AR"/>
    </w:rPr>
  </w:style>
  <w:style w:type="paragraph" w:styleId="TDC3">
    <w:name w:val="toc 3"/>
    <w:basedOn w:val="Normal"/>
    <w:next w:val="Normal"/>
    <w:autoRedefine/>
    <w:uiPriority w:val="39"/>
    <w:unhideWhenUsed/>
    <w:rsid w:val="00104389"/>
    <w:pPr>
      <w:spacing w:after="0"/>
      <w:ind w:left="220"/>
    </w:pPr>
    <w:rPr>
      <w:rFonts w:cstheme="minorHAnsi"/>
      <w:sz w:val="20"/>
      <w:szCs w:val="20"/>
    </w:rPr>
  </w:style>
  <w:style w:type="paragraph" w:styleId="TDC4">
    <w:name w:val="toc 4"/>
    <w:basedOn w:val="Normal"/>
    <w:next w:val="Normal"/>
    <w:autoRedefine/>
    <w:uiPriority w:val="39"/>
    <w:unhideWhenUsed/>
    <w:rsid w:val="00D430C7"/>
    <w:pPr>
      <w:spacing w:after="0"/>
      <w:ind w:left="440"/>
    </w:pPr>
    <w:rPr>
      <w:rFonts w:cstheme="minorHAnsi"/>
      <w:sz w:val="20"/>
      <w:szCs w:val="20"/>
    </w:rPr>
  </w:style>
  <w:style w:type="paragraph" w:styleId="TDC5">
    <w:name w:val="toc 5"/>
    <w:basedOn w:val="Normal"/>
    <w:next w:val="Normal"/>
    <w:autoRedefine/>
    <w:uiPriority w:val="39"/>
    <w:unhideWhenUsed/>
    <w:rsid w:val="00D430C7"/>
    <w:pPr>
      <w:spacing w:after="0"/>
      <w:ind w:left="660"/>
    </w:pPr>
    <w:rPr>
      <w:rFonts w:cstheme="minorHAnsi"/>
      <w:sz w:val="20"/>
      <w:szCs w:val="20"/>
    </w:rPr>
  </w:style>
  <w:style w:type="paragraph" w:styleId="TDC6">
    <w:name w:val="toc 6"/>
    <w:basedOn w:val="Normal"/>
    <w:next w:val="Normal"/>
    <w:autoRedefine/>
    <w:uiPriority w:val="39"/>
    <w:unhideWhenUsed/>
    <w:rsid w:val="00D430C7"/>
    <w:pPr>
      <w:spacing w:after="0"/>
      <w:ind w:left="880"/>
    </w:pPr>
    <w:rPr>
      <w:rFonts w:cstheme="minorHAnsi"/>
      <w:sz w:val="20"/>
      <w:szCs w:val="20"/>
    </w:rPr>
  </w:style>
  <w:style w:type="paragraph" w:styleId="TDC7">
    <w:name w:val="toc 7"/>
    <w:basedOn w:val="Normal"/>
    <w:next w:val="Normal"/>
    <w:autoRedefine/>
    <w:uiPriority w:val="39"/>
    <w:unhideWhenUsed/>
    <w:rsid w:val="00D430C7"/>
    <w:pPr>
      <w:spacing w:after="0"/>
      <w:ind w:left="1100"/>
    </w:pPr>
    <w:rPr>
      <w:rFonts w:cstheme="minorHAnsi"/>
      <w:sz w:val="20"/>
      <w:szCs w:val="20"/>
    </w:rPr>
  </w:style>
  <w:style w:type="paragraph" w:styleId="TDC8">
    <w:name w:val="toc 8"/>
    <w:basedOn w:val="Normal"/>
    <w:next w:val="Normal"/>
    <w:autoRedefine/>
    <w:uiPriority w:val="39"/>
    <w:unhideWhenUsed/>
    <w:rsid w:val="00D430C7"/>
    <w:pPr>
      <w:spacing w:after="0"/>
      <w:ind w:left="1320"/>
    </w:pPr>
    <w:rPr>
      <w:rFonts w:cstheme="minorHAnsi"/>
      <w:sz w:val="20"/>
      <w:szCs w:val="20"/>
    </w:rPr>
  </w:style>
  <w:style w:type="paragraph" w:styleId="TDC9">
    <w:name w:val="toc 9"/>
    <w:basedOn w:val="Normal"/>
    <w:next w:val="Normal"/>
    <w:autoRedefine/>
    <w:uiPriority w:val="39"/>
    <w:unhideWhenUsed/>
    <w:rsid w:val="00D430C7"/>
    <w:pPr>
      <w:spacing w:after="0"/>
      <w:ind w:left="1540"/>
    </w:pPr>
    <w:rPr>
      <w:rFonts w:cstheme="minorHAnsi"/>
      <w:sz w:val="20"/>
      <w:szCs w:val="20"/>
    </w:rPr>
  </w:style>
  <w:style w:type="character" w:customStyle="1" w:styleId="Ttulo3Car">
    <w:name w:val="Título 3 Car"/>
    <w:basedOn w:val="Fuentedeprrafopredeter"/>
    <w:link w:val="Ttulo3"/>
    <w:uiPriority w:val="9"/>
    <w:rsid w:val="00A74FEA"/>
    <w:rPr>
      <w:rFonts w:asciiTheme="majorHAnsi" w:eastAsiaTheme="majorEastAsia" w:hAnsiTheme="majorHAnsi" w:cstheme="majorBidi"/>
      <w:color w:val="1F3763" w:themeColor="accent1" w:themeShade="7F"/>
      <w:sz w:val="24"/>
      <w:szCs w:val="24"/>
      <w:lang w:val="es-ES"/>
    </w:rPr>
  </w:style>
  <w:style w:type="paragraph" w:styleId="Textodeglobo">
    <w:name w:val="Balloon Text"/>
    <w:basedOn w:val="Normal"/>
    <w:link w:val="TextodegloboCar"/>
    <w:uiPriority w:val="99"/>
    <w:semiHidden/>
    <w:unhideWhenUsed/>
    <w:rsid w:val="00312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266"/>
    <w:rPr>
      <w:rFonts w:ascii="Tahoma" w:hAnsi="Tahoma" w:cs="Tahoma"/>
      <w:sz w:val="16"/>
      <w:szCs w:val="16"/>
      <w:lang w:val="es-ES"/>
    </w:rPr>
  </w:style>
  <w:style w:type="paragraph" w:styleId="Revisin">
    <w:name w:val="Revision"/>
    <w:hidden/>
    <w:uiPriority w:val="99"/>
    <w:semiHidden/>
    <w:rsid w:val="00E33150"/>
    <w:pPr>
      <w:spacing w:after="0" w:line="240" w:lineRule="auto"/>
    </w:pPr>
    <w:rPr>
      <w:lang w:val="es-ES"/>
    </w:rPr>
  </w:style>
  <w:style w:type="character" w:customStyle="1" w:styleId="cf01">
    <w:name w:val="cf01"/>
    <w:basedOn w:val="Fuentedeprrafopredeter"/>
    <w:rsid w:val="00943293"/>
    <w:rPr>
      <w:rFonts w:ascii="Segoe UI" w:hAnsi="Segoe UI" w:cs="Segoe UI" w:hint="default"/>
      <w:sz w:val="18"/>
      <w:szCs w:val="18"/>
    </w:rPr>
  </w:style>
  <w:style w:type="character" w:customStyle="1" w:styleId="UnresolvedMention">
    <w:name w:val="Unresolved Mention"/>
    <w:basedOn w:val="Fuentedeprrafopredeter"/>
    <w:uiPriority w:val="99"/>
    <w:semiHidden/>
    <w:unhideWhenUsed/>
    <w:rsid w:val="00810F4E"/>
    <w:rPr>
      <w:color w:val="605E5C"/>
      <w:shd w:val="clear" w:color="auto" w:fill="E1DFDD"/>
    </w:rPr>
  </w:style>
  <w:style w:type="paragraph" w:styleId="Sinespaciado">
    <w:name w:val="No Spacing"/>
    <w:link w:val="SinespaciadoCar"/>
    <w:uiPriority w:val="1"/>
    <w:qFormat/>
    <w:rsid w:val="006F5FFD"/>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6F5FFD"/>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8711">
      <w:bodyDiv w:val="1"/>
      <w:marLeft w:val="0"/>
      <w:marRight w:val="0"/>
      <w:marTop w:val="0"/>
      <w:marBottom w:val="0"/>
      <w:divBdr>
        <w:top w:val="none" w:sz="0" w:space="0" w:color="auto"/>
        <w:left w:val="none" w:sz="0" w:space="0" w:color="auto"/>
        <w:bottom w:val="none" w:sz="0" w:space="0" w:color="auto"/>
        <w:right w:val="none" w:sz="0" w:space="0" w:color="auto"/>
      </w:divBdr>
    </w:div>
    <w:div w:id="585459925">
      <w:bodyDiv w:val="1"/>
      <w:marLeft w:val="0"/>
      <w:marRight w:val="0"/>
      <w:marTop w:val="0"/>
      <w:marBottom w:val="0"/>
      <w:divBdr>
        <w:top w:val="none" w:sz="0" w:space="0" w:color="auto"/>
        <w:left w:val="none" w:sz="0" w:space="0" w:color="auto"/>
        <w:bottom w:val="none" w:sz="0" w:space="0" w:color="auto"/>
        <w:right w:val="none" w:sz="0" w:space="0" w:color="auto"/>
      </w:divBdr>
    </w:div>
    <w:div w:id="1605533256">
      <w:bodyDiv w:val="1"/>
      <w:marLeft w:val="0"/>
      <w:marRight w:val="0"/>
      <w:marTop w:val="0"/>
      <w:marBottom w:val="0"/>
      <w:divBdr>
        <w:top w:val="none" w:sz="0" w:space="0" w:color="auto"/>
        <w:left w:val="none" w:sz="0" w:space="0" w:color="auto"/>
        <w:bottom w:val="none" w:sz="0" w:space="0" w:color="auto"/>
        <w:right w:val="none" w:sz="0" w:space="0" w:color="auto"/>
      </w:divBdr>
    </w:div>
    <w:div w:id="21019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gentina.gob.ar/andis/estructura-andis/observatorio-de-la-discapacidad"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argentina.gob.ar/andis/estructura/consejo-federal-de-discapacid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gentina.gob.ar/andis/estructura/Directorio-del-Sistema-de-Prestaciones-B%C3%A1sicas"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e-legis-ar.msal.gov.ar/htdocs/legisalud/migration/html/16372.html" TargetMode="External"/><Relationship Id="rId23" Type="http://schemas.microsoft.com/office/2016/09/relationships/commentsIds" Target="commentsIds.xml"/><Relationship Id="rId10" Type="http://schemas.openxmlformats.org/officeDocument/2006/relationships/hyperlink" Target="https://www.argentina.gob.ar/andis/estructura/comite-aseso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legis-ar.msal.gov.ar/htdocs/legisalud/migration/html/9506.html"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3" Type="http://schemas.openxmlformats.org/officeDocument/2006/relationships/hyperlink" Target="https://eje.juscaba.gob.ar/iol-ui/p/expedientes?identificador=35897%2F2019-3&amp;fuero=%7B%22codigo%22:%22%22,%22descripcion%22:%22%22%7D&amp;tribunal=%7B%22codigo%22:%22%22,%22descripcion%22:%22%22%7D&amp;materia=%7B%22codigo%22:%22%22,%22descripcion%22:%22%22%7D&amp;objetoJuicio=%7B%22codigo%22:%22%22,%22descripcion%22:%22%22%7D&amp;estadoAdministrativo=%7B%22codigo%22:%22%22,%22descripcion%22:%22%22%7D&amp;fechaDesde=&amp;fechaHasta=&amp;caratula=&amp;open=false&amp;otraJurisdiccion=&amp;expUACF=&amp;cuij=&amp;anio=&amp;numero=&amp;codigoDGR=&amp;numeroAdjudicacion=&amp;montoDesde=&amp;montoHasta=&amp;cuijDen=&amp;numeroDen=&amp;causas=0&amp;tituloBusqueda=Causas&amp;tipoBusqueda=CAU" TargetMode="External"/><Relationship Id="rId18" Type="http://schemas.openxmlformats.org/officeDocument/2006/relationships/hyperlink" Target="https://www.argentina.gob.ar/jefatura/innovacion-publica/innovacion-administrativa/tramites-distancia-tad" TargetMode="External"/><Relationship Id="rId26" Type="http://schemas.openxmlformats.org/officeDocument/2006/relationships/hyperlink" Target="https://www.argentina.gob.ar/sites/default/files/estado_de_situacion_de_las_personas_con_discapacidad_con_cud_en_la_pandemia_covid-19._andis.pdf" TargetMode="External"/><Relationship Id="rId39" Type="http://schemas.openxmlformats.org/officeDocument/2006/relationships/hyperlink" Target="http://acij.org.ar/wp-content/uploads/2022/11/Salud-Mental-_-Semana-_Presupuesto-y-Derechos_-2022-1.pdf" TargetMode="External"/><Relationship Id="rId21" Type="http://schemas.openxmlformats.org/officeDocument/2006/relationships/hyperlink" Target="https://docs.google.com/presentation/d/1pOtW482lk6UjC8AtyyuTvPZKtttwkOR_E4eJzmM_EZE/edit" TargetMode="External"/><Relationship Id="rId34" Type="http://schemas.openxmlformats.org/officeDocument/2006/relationships/hyperlink" Target="https://www.lavoz.com.ar/sucesos/ezequiel-castro-otra-muerte-tras-una-detencion-policial-que-investiga-la-justicia-de-cordoba/" TargetMode="External"/><Relationship Id="rId42" Type="http://schemas.openxmlformats.org/officeDocument/2006/relationships/hyperlink" Target="https://docs.google.com/document/d/1QMBrRvIgGdiI3rFvUa5YYgZWphHBOV30/edit?usp=sharing&amp;ouid=105736202991338020491&amp;rtpof=true&amp;sd=true" TargetMode="External"/><Relationship Id="rId47" Type="http://schemas.openxmlformats.org/officeDocument/2006/relationships/hyperlink" Target="https://www.bcra.gob.ar/Pdfs/Texord/t-pusf.pdf" TargetMode="External"/><Relationship Id="rId50" Type="http://schemas.openxmlformats.org/officeDocument/2006/relationships/hyperlink" Target="http://biblioteca.clacso.edu.ar/clacso/se/20181102011124/Derechos_politicas_infancias.pdf" TargetMode="External"/><Relationship Id="rId55" Type="http://schemas.openxmlformats.org/officeDocument/2006/relationships/hyperlink" Target="https://www.argentina.gob.ar/educacion/evaluacion-informacion-educativa/anuarios" TargetMode="External"/><Relationship Id="rId63" Type="http://schemas.openxmlformats.org/officeDocument/2006/relationships/hyperlink" Target="https://www.jujuyalmomento.com/malestar/malestar-y-quejas-largas-filas-y-atencion-lenta-hospital-nestor-sequeiros-n144887" TargetMode="External"/><Relationship Id="rId68" Type="http://schemas.openxmlformats.org/officeDocument/2006/relationships/hyperlink" Target="http://servicios.infoleg.gob.ar/infolegInternet/anexos/15000-19999/19442/texact.htm" TargetMode="External"/><Relationship Id="rId76" Type="http://schemas.openxmlformats.org/officeDocument/2006/relationships/hyperlink" Target="http://redi.org.ar/wp-content/uploads/recomendaciones-para-un-observatorio-nacional-sobre-los-derechos-de-las-personas-con-discapacidad.pdf" TargetMode="External"/><Relationship Id="rId7" Type="http://schemas.openxmlformats.org/officeDocument/2006/relationships/hyperlink" Target="http://servicios.infoleg.gob.ar/infolegInternet/verNorma.do;jsessionid=0D9AA8BB843853FDFC48897F0CFC2C32?id=356024" TargetMode="External"/><Relationship Id="rId71" Type="http://schemas.openxmlformats.org/officeDocument/2006/relationships/hyperlink" Target="https://www.cultura.gob.ar/como-construimos-cultura-accesible_7761/" TargetMode="External"/><Relationship Id="rId2" Type="http://schemas.openxmlformats.org/officeDocument/2006/relationships/hyperlink" Target="https://www.argentina.gob.ar/andis/estructura/comite-asesor" TargetMode="External"/><Relationship Id="rId16" Type="http://schemas.openxmlformats.org/officeDocument/2006/relationships/hyperlink" Target="https://www.facebook.com/watch/?v=1769518113427342" TargetMode="External"/><Relationship Id="rId29" Type="http://schemas.openxmlformats.org/officeDocument/2006/relationships/hyperlink" Target="http://servicios.infoleg.gob.ar/infolegInternet/anexos/235000239999/235975/norma.htm" TargetMode="External"/><Relationship Id="rId11" Type="http://schemas.openxmlformats.org/officeDocument/2006/relationships/hyperlink" Target="https://docs.google.com/document/d/1AWiRjdVFRdSt48FFQjCLGw96gZRR7fPx/edit?usp=share_link&amp;ouid=110571565973841532453&amp;rtpof=true&amp;sd=true" TargetMode="External"/><Relationship Id="rId24" Type="http://schemas.openxmlformats.org/officeDocument/2006/relationships/hyperlink" Target="https://elgritodelsur.com.ar/2021/07/el-nuevo-codigo-edificacion-de-larreta-discriminatorio-y-expulsivo.html" TargetMode="External"/><Relationship Id="rId32" Type="http://schemas.openxmlformats.org/officeDocument/2006/relationships/hyperlink" Target="http://www.saij.gob.ar/7690-local-salta-codigo-procesal-penal-provincia-salta-lpa0007690-2011-11-01/123456789-0abc-defg-096-7000avorpyel" TargetMode="External"/><Relationship Id="rId37" Type="http://schemas.openxmlformats.org/officeDocument/2006/relationships/hyperlink" Target="https://www.mpd.gov.ar/pdf/Res_SE_07_2022_Psicocirugia.pdf" TargetMode="External"/><Relationship Id="rId40" Type="http://schemas.openxmlformats.org/officeDocument/2006/relationships/hyperlink" Target="https://www.pagina12.com.ar/478256-es-ciega-fue-a-alquilar-un-departamento-y-le-rechazaron-el-c" TargetMode="External"/><Relationship Id="rId45" Type="http://schemas.openxmlformats.org/officeDocument/2006/relationships/hyperlink" Target="https://drive.google.com/drive/folders/1NQLREYmdn0_8H4lsUehjhVJo1zsNFHrn" TargetMode="External"/><Relationship Id="rId53" Type="http://schemas.openxmlformats.org/officeDocument/2006/relationships/hyperlink" Target="https://www.mpd.gov.ar/pdf/Informe%20Anual%202019_compressed.pdf" TargetMode="External"/><Relationship Id="rId58" Type="http://schemas.openxmlformats.org/officeDocument/2006/relationships/hyperlink" Target="https://tiflonexos.org/content/seguimos-adaptando-seguimos-educando" TargetMode="External"/><Relationship Id="rId66" Type="http://schemas.openxmlformats.org/officeDocument/2006/relationships/hyperlink" Target="http://servicios.infoleg.gob.ar/infolegInternet/anexos/250000-254999/251275/norma.htm" TargetMode="External"/><Relationship Id="rId74" Type="http://schemas.openxmlformats.org/officeDocument/2006/relationships/hyperlink" Target="https://www.anbariloche.com.ar/noticias/2022/08/27/86477-cerro-otto-no-dejaron-subir-a-una-pareja-con-discapacidad-visual-por-no-contar-con-acompanante" TargetMode="External"/><Relationship Id="rId5" Type="http://schemas.openxmlformats.org/officeDocument/2006/relationships/hyperlink" Target="https://www.argentina.gob.ar/andis/estructura-andis/observatorio-de-la-discapacidad" TargetMode="External"/><Relationship Id="rId15" Type="http://schemas.openxmlformats.org/officeDocument/2006/relationships/hyperlink" Target="https://www.jujuyalmomento.com/malestar/malestar-y-quejas-largas-filas-y-atencion-lenta-hospital-nestor-sequeiros-n144887" TargetMode="External"/><Relationship Id="rId23" Type="http://schemas.openxmlformats.org/officeDocument/2006/relationships/hyperlink" Target="https://www.buenosaires.gob.ar/sites/gcaba/files/ce-_texto_ordenado_ley_6100ley_6438.pdf" TargetMode="External"/><Relationship Id="rId28" Type="http://schemas.openxmlformats.org/officeDocument/2006/relationships/hyperlink" Target="http://redi.org.ar/wp-content/uploads/informe-alternativo-argentina-2017_informe-alternativo-argentina.pdf" TargetMode="External"/><Relationship Id="rId36" Type="http://schemas.openxmlformats.org/officeDocument/2006/relationships/hyperlink" Target="http://servicios.infoleg.gob.ar/infolegInternet/anexos/215000-219999/216049/norma.htm" TargetMode="External"/><Relationship Id="rId49" Type="http://schemas.openxmlformats.org/officeDocument/2006/relationships/hyperlink" Target="https://www.eldiariodelapampa.com.ar/la-pampa/-29984/una-mujer-con-discapacidad-separada-de-su-hijo-hace-mas-de-2-meses--lo-alojaron-en-un-hotel" TargetMode="External"/><Relationship Id="rId57" Type="http://schemas.openxmlformats.org/officeDocument/2006/relationships/hyperlink" Target="https://acij.org.ar/wp-content/uploads/2022/03/Apoyos-para-la-educacion-inclusiva_-datos-que-evidencian-barreras.pdf" TargetMode="External"/><Relationship Id="rId61" Type="http://schemas.openxmlformats.org/officeDocument/2006/relationships/hyperlink" Target="https://docs.google.com/document/d/1pcZJ82Eow7tDYzUq4LHAhiFFIkxggUaB/edit" TargetMode="External"/><Relationship Id="rId10" Type="http://schemas.openxmlformats.org/officeDocument/2006/relationships/hyperlink" Target="https://www.rumbos.org.ar/post/nota-enviada-a-andis-reiteramos-el-planteo-de-hacer-publico-el-proyecto-de-ley-de-discapacidad" TargetMode="External"/><Relationship Id="rId19" Type="http://schemas.openxmlformats.org/officeDocument/2006/relationships/hyperlink" Target="https://www.boletinoficial.gob.ar/detalleAviso/primera/227116/20200324" TargetMode="External"/><Relationship Id="rId31" Type="http://schemas.openxmlformats.org/officeDocument/2006/relationships/hyperlink" Target="https://justicia.lapampa.gob.ar/images/Archivos/Leyes_Usuales/C%C3%93DIGO_PROCESAL_PENAL_DE_LA_PROVINCIA_DE_LA_PAMPA_2021.pdf" TargetMode="External"/><Relationship Id="rId44" Type="http://schemas.openxmlformats.org/officeDocument/2006/relationships/hyperlink" Target="https://drive.google.com/file/d/1RGBHvlAaebnSUY0nbLSw6cf9NMlnq2Qf/view?usp=sharing" TargetMode="External"/><Relationship Id="rId52" Type="http://schemas.openxmlformats.org/officeDocument/2006/relationships/hyperlink" Target="https://www.mpd.gov.ar/pdf/saludmental/Res%20SE%2005%202019%20Aprobacion%20informe%20de%20gestion%202018.pdf" TargetMode="External"/><Relationship Id="rId60" Type="http://schemas.openxmlformats.org/officeDocument/2006/relationships/hyperlink" Target="http://www.cud.unlp.edu.ar/" TargetMode="External"/><Relationship Id="rId65" Type="http://schemas.openxmlformats.org/officeDocument/2006/relationships/hyperlink" Target="http://servicios.infoleg.gob.ar/infolegInternet/anexos/205000-209999/207088/norma.htm" TargetMode="External"/><Relationship Id="rId73" Type="http://schemas.openxmlformats.org/officeDocument/2006/relationships/hyperlink" Target="https://drive.google.com/file/d/1752__4P7uUBdHhXiWeOFc5z_AFQf64yL/view?usp=share_link" TargetMode="External"/><Relationship Id="rId4" Type="http://schemas.openxmlformats.org/officeDocument/2006/relationships/hyperlink" Target="https://www.argentina.gob.ar/andis/estructura/consejo-federal-de-discapacidad" TargetMode="External"/><Relationship Id="rId9" Type="http://schemas.openxmlformats.org/officeDocument/2006/relationships/hyperlink" Target="https://www.youtube.com/watch?v=nmra-a8BHLw" TargetMode="External"/><Relationship Id="rId14" Type="http://schemas.openxmlformats.org/officeDocument/2006/relationships/hyperlink" Target="https://www.argentina.gob.ar/inadi/mapa-nacional-de-la-discriminacion" TargetMode="External"/><Relationship Id="rId22" Type="http://schemas.openxmlformats.org/officeDocument/2006/relationships/hyperlink" Target="https://www.argentina.gob.ar/noticias/se-presentaron-los-ganadores-del-concurso-de-proyectos-habitacionales-casa-propia-procrear" TargetMode="External"/><Relationship Id="rId27" Type="http://schemas.openxmlformats.org/officeDocument/2006/relationships/hyperlink" Target="https://www.argentina.gob.ar/sites/default/files/protocolo_sistemas_de_apoyo.pdf" TargetMode="External"/><Relationship Id="rId30" Type="http://schemas.openxmlformats.org/officeDocument/2006/relationships/hyperlink" Target="https://normas.gba.gob.ar/documentos/V9OGJUPx.html" TargetMode="External"/><Relationship Id="rId35" Type="http://schemas.openxmlformats.org/officeDocument/2006/relationships/hyperlink" Target="https://latinta.com.ar/2022/07/violencia-policial-salud-mental/" TargetMode="External"/><Relationship Id="rId43" Type="http://schemas.openxmlformats.org/officeDocument/2006/relationships/hyperlink" Target="https://www.rumbos.org.ar/_files/ugd/fb505b_1fb5ca0aa49c4dadb6398927e461840a.pdf" TargetMode="External"/><Relationship Id="rId48" Type="http://schemas.openxmlformats.org/officeDocument/2006/relationships/hyperlink" Target="https://www.infofueguina.com/tu-ciudad/rio-grande/2019/7/20/le-quitaron-el-bebe-joven-con-retraso-madurativo-40311.html" TargetMode="External"/><Relationship Id="rId56" Type="http://schemas.openxmlformats.org/officeDocument/2006/relationships/hyperlink" Target="file:///C:\Users\HP%20Envy\Documents\REDI\Informe%202022-2023\.%20%20https:\www.argentina.gob.ar\educacion\evaluacion-informacion-educativa\anuarios" TargetMode="External"/><Relationship Id="rId64" Type="http://schemas.openxmlformats.org/officeDocument/2006/relationships/hyperlink" Target="http://servicios.infoleg.gob.ar/infolegInternet/verNorma.do?id=341093" TargetMode="External"/><Relationship Id="rId69" Type="http://schemas.openxmlformats.org/officeDocument/2006/relationships/hyperlink" Target="http://servicios.infoleg.gob.ar/infolegInternet/anexos/20000-24999/23893/texact.htm" TargetMode="External"/><Relationship Id="rId8" Type="http://schemas.openxmlformats.org/officeDocument/2006/relationships/hyperlink" Target="https://www.youtube.com/watch?v=hioBwNxE-tg" TargetMode="External"/><Relationship Id="rId51" Type="http://schemas.openxmlformats.org/officeDocument/2006/relationships/hyperlink" Target="https://www.editorialteseo.com/archivos/18485/a-diez-anos-de-la-sancion-de-la-ley-nacional-de-salud-mental/" TargetMode="External"/><Relationship Id="rId72" Type="http://schemas.openxmlformats.org/officeDocument/2006/relationships/hyperlink" Target="https://www.gba.gob.ar/derechoshumanos/noticias/presentaci%C3%B3n_del_programa_de_accesibilidad_y_derechos_humanos" TargetMode="External"/><Relationship Id="rId3" Type="http://schemas.openxmlformats.org/officeDocument/2006/relationships/hyperlink" Target="https://www.argentina.gob.ar/andis/estructura/Directorio-del-Sistema-de-Prestaciones-B%C3%A1sicas" TargetMode="External"/><Relationship Id="rId12" Type="http://schemas.openxmlformats.org/officeDocument/2006/relationships/hyperlink" Target="https://www.pagina12.com.ar/222874-la-garantia-del-debido-proceso" TargetMode="External"/><Relationship Id="rId17" Type="http://schemas.openxmlformats.org/officeDocument/2006/relationships/hyperlink" Target="https://www.argentina.gob.ar/noticias/ley-no-27610-acceso-la-interrupcion-voluntaria-del-embarazo-ive-obligatoriedad-de-brindar" TargetMode="External"/><Relationship Id="rId25" Type="http://schemas.openxmlformats.org/officeDocument/2006/relationships/hyperlink" Target="https://www.boletinoficial.gob.ar/detalleAviso/primera/227068/20200320" TargetMode="External"/><Relationship Id="rId33" Type="http://schemas.openxmlformats.org/officeDocument/2006/relationships/hyperlink" Target="https://www.cosecharoja.org/tan-bionicos-como-actua-la-policia-en-casos-de-salud-mental/" TargetMode="External"/><Relationship Id="rId38" Type="http://schemas.openxmlformats.org/officeDocument/2006/relationships/hyperlink" Target="https://bancos.salud.gob.ar/sites/default/files/2020-01/primer-censo-nacional-personas-internadas-por-motivos-de-salud-mental-2019.pdf" TargetMode="External"/><Relationship Id="rId46" Type="http://schemas.openxmlformats.org/officeDocument/2006/relationships/hyperlink" Target="https://drive.google.com/drive/folders/1431HFw7zNC17j6qtfefYXBkNEfmVcE2y" TargetMode="External"/><Relationship Id="rId59" Type="http://schemas.openxmlformats.org/officeDocument/2006/relationships/hyperlink" Target="https://blogs.ead.unlp.edu.ar/discapacidadunlp/" TargetMode="External"/><Relationship Id="rId67" Type="http://schemas.openxmlformats.org/officeDocument/2006/relationships/hyperlink" Target="https://www.argentina.gob.ar/economia/politicatributaria/covid19/ife" TargetMode="External"/><Relationship Id="rId20" Type="http://schemas.openxmlformats.org/officeDocument/2006/relationships/hyperlink" Target="https://www.argentina.gob.ar/obras-publicas/vialidad-nacional/licitaciones/pliegos-de-especificaciones-tecnicas" TargetMode="External"/><Relationship Id="rId41" Type="http://schemas.openxmlformats.org/officeDocument/2006/relationships/hyperlink" Target="https://drive.google.com/file/d/1YSetDem4YRwZ546M94JfWeyK21ezfiHK/view?usp=sharing" TargetMode="External"/><Relationship Id="rId54" Type="http://schemas.openxmlformats.org/officeDocument/2006/relationships/hyperlink" Target="https://www.mpd.gov.ar/pdf/RESO10ORN.pdf" TargetMode="External"/><Relationship Id="rId62" Type="http://schemas.openxmlformats.org/officeDocument/2006/relationships/hyperlink" Target="https://www.argentina.gob.ar/sites/default/files/ley_25929_parto_humanizado_decreto_web_0.pdf" TargetMode="External"/><Relationship Id="rId70" Type="http://schemas.openxmlformats.org/officeDocument/2006/relationships/hyperlink" Target="https://www.electoral.gob.ar/nuevo_legislacion/pdf/ac27-15.pdf" TargetMode="External"/><Relationship Id="rId75" Type="http://schemas.openxmlformats.org/officeDocument/2006/relationships/hyperlink" Target="file:///C:\Users\HP%20Envy\Documents\REDI\Informe%202022-2023\.%20%20https:\www.argentina.gob.ar\andis\estructura-andis\observatorio-de-la-discapacidad" TargetMode="External"/><Relationship Id="rId1" Type="http://schemas.openxmlformats.org/officeDocument/2006/relationships/hyperlink" Target="https://www4.hcdn.gob.ar/dependencias/dsecretaria/Periodo2022/PDF2022/TP2022/2062-D-2022.pdf" TargetMode="External"/><Relationship Id="rId6" Type="http://schemas.openxmlformats.org/officeDocument/2006/relationships/hyperlink" Target="http://mesadiscapacidadyddhh.ar/2022/09/01/%f0%9f%a4%94%f0%9f%92%a5-que-reclamamos-cuando-reclama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Evaluación sobre Argentina del período 2018-2023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F8F74-7303-4B97-9BB3-4369E5D7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11297</Words>
  <Characters>62134</Characters>
  <Application>Microsoft Office Word</Application>
  <DocSecurity>0</DocSecurity>
  <Lines>517</Lines>
  <Paragraphs>146</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Informe Alternativo sobre la situación de las personas con discapacidad en Argentina</vt:lpstr>
      <vt:lpstr/>
      <vt:lpstr>Resumen Ejecutivo</vt:lpstr>
      <vt:lpstr>Situación de los derechos de las PCD según los artículos de la Convención</vt:lpstr>
      <vt:lpstr>        Accesibilidad web</vt:lpstr>
      <vt:lpstr>        Accesibilidad peatonal y movilidad</vt:lpstr>
      <vt:lpstr>        Accesibilidad edilicia </vt:lpstr>
    </vt:vector>
  </TitlesOfParts>
  <Company>BCCL</Company>
  <LinksUpToDate>false</LinksUpToDate>
  <CharactersWithSpaces>73285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Alternativo sobre la situación de las personas con discapacidad en Argentina</dc:title>
  <dc:subject>28° Período de sesiones del Comité sobre los Derechos de las Personas con Discapacidad – marzo 2023</dc:subject>
  <dc:creator>Novillo-Funes,S (pgt)</dc:creator>
  <cp:lastModifiedBy>Betti , Marcelo Fernando</cp:lastModifiedBy>
  <cp:revision>5</cp:revision>
  <cp:lastPrinted>2023-01-24T17:40:00Z</cp:lastPrinted>
  <dcterms:created xsi:type="dcterms:W3CDTF">2023-01-24T17:41:00Z</dcterms:created>
  <dcterms:modified xsi:type="dcterms:W3CDTF">2023-01-31T18:12:00Z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ce9adf94-0f99-4bba-a816-d41b41affb11</vt:lpwstr>
  </property>
</Properties>
</file>